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6319D5" w14:textId="77777777" w:rsidR="003465D7" w:rsidRPr="00C823BE" w:rsidRDefault="003465D7" w:rsidP="003465D7">
      <w:pPr>
        <w:jc w:val="center"/>
        <w:rPr>
          <w:rFonts w:ascii="Arial" w:hAnsi="Arial" w:cs="Arial"/>
          <w:szCs w:val="22"/>
        </w:rPr>
      </w:pPr>
      <w:r w:rsidRPr="00C823BE">
        <w:rPr>
          <w:rFonts w:ascii="Arial" w:hAnsi="Arial" w:cs="Arial"/>
          <w:szCs w:val="22"/>
        </w:rPr>
        <w:t>Great Budworth Parish Council</w:t>
      </w:r>
    </w:p>
    <w:p w14:paraId="6DE2D053" w14:textId="6F618D6F" w:rsidR="003465D7" w:rsidRDefault="003465D7" w:rsidP="003465D7">
      <w:pPr>
        <w:jc w:val="center"/>
        <w:rPr>
          <w:rFonts w:ascii="Arial" w:hAnsi="Arial" w:cs="Arial"/>
          <w:b/>
          <w:bCs/>
        </w:rPr>
      </w:pPr>
      <w:r>
        <w:rPr>
          <w:rFonts w:ascii="Arial" w:hAnsi="Arial" w:cs="Arial"/>
          <w:b/>
          <w:bCs/>
          <w:sz w:val="24"/>
        </w:rPr>
        <w:t>Reserves Policy</w:t>
      </w:r>
    </w:p>
    <w:p w14:paraId="315EF916" w14:textId="77777777" w:rsidR="003465D7" w:rsidRDefault="003465D7" w:rsidP="003465D7">
      <w:pPr>
        <w:jc w:val="center"/>
        <w:rPr>
          <w:rFonts w:ascii="Arial" w:hAnsi="Arial" w:cs="Arial"/>
          <w:b/>
          <w:bCs/>
        </w:rPr>
      </w:pPr>
    </w:p>
    <w:p w14:paraId="2386A16D" w14:textId="77777777" w:rsidR="003465D7" w:rsidRDefault="003465D7" w:rsidP="003465D7">
      <w:pPr>
        <w:spacing w:after="0" w:line="240" w:lineRule="auto"/>
        <w:ind w:right="56"/>
        <w:rPr>
          <w:rFonts w:ascii="Arial" w:hAnsi="Arial" w:cs="Arial"/>
          <w:bCs/>
          <w:szCs w:val="22"/>
          <w:shd w:val="clear" w:color="auto" w:fill="FFFF00"/>
        </w:rPr>
      </w:pPr>
      <w:r w:rsidRPr="005A63C2">
        <w:rPr>
          <w:rFonts w:ascii="Arial" w:hAnsi="Arial" w:cs="Arial"/>
          <w:bCs/>
          <w:szCs w:val="22"/>
        </w:rPr>
        <w:t>Adopted: 07/05/2024</w:t>
      </w:r>
    </w:p>
    <w:p w14:paraId="7EEBA3AB" w14:textId="77777777" w:rsidR="003465D7" w:rsidRDefault="003465D7" w:rsidP="003465D7">
      <w:pPr>
        <w:spacing w:after="0" w:line="240" w:lineRule="auto"/>
        <w:ind w:right="56"/>
        <w:rPr>
          <w:rFonts w:ascii="Arial" w:hAnsi="Arial" w:cs="Arial"/>
          <w:bCs/>
          <w:szCs w:val="22"/>
          <w:shd w:val="clear" w:color="auto" w:fill="FFFF00"/>
        </w:rPr>
      </w:pPr>
      <w:r w:rsidRPr="005A63C2">
        <w:rPr>
          <w:rFonts w:ascii="Arial" w:hAnsi="Arial" w:cs="Arial"/>
          <w:bCs/>
          <w:szCs w:val="22"/>
        </w:rPr>
        <w:t>Reviewed:</w:t>
      </w:r>
      <w:r>
        <w:rPr>
          <w:rFonts w:ascii="Arial" w:hAnsi="Arial" w:cs="Arial"/>
          <w:bCs/>
          <w:szCs w:val="22"/>
          <w:shd w:val="clear" w:color="auto" w:fill="FFFF00"/>
        </w:rPr>
        <w:t xml:space="preserve"> </w:t>
      </w:r>
    </w:p>
    <w:p w14:paraId="30F2C57E" w14:textId="54038B9A" w:rsidR="003465D7" w:rsidRDefault="003465D7" w:rsidP="003465D7">
      <w:pPr>
        <w:spacing w:after="0" w:line="240" w:lineRule="auto"/>
        <w:ind w:right="56"/>
      </w:pPr>
      <w:r w:rsidRPr="005A63C2">
        <w:rPr>
          <w:rFonts w:ascii="Arial" w:hAnsi="Arial" w:cs="Arial"/>
          <w:bCs/>
          <w:szCs w:val="22"/>
        </w:rPr>
        <w:t>Next Review: March 202</w:t>
      </w:r>
      <w:r w:rsidR="005A63C2" w:rsidRPr="005A63C2">
        <w:rPr>
          <w:rFonts w:ascii="Arial" w:hAnsi="Arial" w:cs="Arial"/>
          <w:bCs/>
          <w:szCs w:val="22"/>
        </w:rPr>
        <w:t>5</w:t>
      </w:r>
    </w:p>
    <w:p w14:paraId="6E18EDAE" w14:textId="77777777" w:rsidR="003465D7" w:rsidRDefault="003465D7" w:rsidP="003465D7">
      <w:pPr>
        <w:rPr>
          <w:rFonts w:ascii="Arial" w:hAnsi="Arial" w:cs="Arial"/>
        </w:rPr>
      </w:pPr>
    </w:p>
    <w:p w14:paraId="26B43CA7" w14:textId="48C2A3F6" w:rsidR="003465D7" w:rsidRPr="003465D7" w:rsidRDefault="003465D7" w:rsidP="003465D7">
      <w:pPr>
        <w:rPr>
          <w:rFonts w:ascii="Arial" w:hAnsi="Arial" w:cs="Arial"/>
          <w:b/>
          <w:sz w:val="32"/>
        </w:rPr>
      </w:pPr>
      <w:r w:rsidRPr="003465D7">
        <w:rPr>
          <w:rFonts w:ascii="Arial" w:hAnsi="Arial" w:cs="Arial"/>
        </w:rPr>
        <w:t>This policy is supplemental to, and does not in any way override, the Parish Council Standing Orders and/or Financial Regulations.</w:t>
      </w:r>
      <w:r w:rsidRPr="003465D7">
        <w:rPr>
          <w:rFonts w:ascii="Arial" w:hAnsi="Arial" w:cs="Arial"/>
          <w:b/>
          <w:sz w:val="32"/>
        </w:rPr>
        <w:tab/>
      </w:r>
    </w:p>
    <w:p w14:paraId="0D7E9BE2" w14:textId="56236E0B" w:rsidR="00226B52" w:rsidRDefault="0005705D" w:rsidP="003465D7">
      <w:pPr>
        <w:spacing w:after="0"/>
        <w:rPr>
          <w:rFonts w:ascii="Arial" w:hAnsi="Arial" w:cs="Arial"/>
          <w:b/>
          <w:bCs/>
        </w:rPr>
      </w:pPr>
      <w:r w:rsidRPr="003465D7">
        <w:rPr>
          <w:rFonts w:ascii="Arial" w:hAnsi="Arial" w:cs="Arial"/>
          <w:b/>
          <w:bCs/>
        </w:rPr>
        <w:t xml:space="preserve">Introduction </w:t>
      </w:r>
    </w:p>
    <w:p w14:paraId="1CBC0CB3" w14:textId="77777777" w:rsidR="003465D7" w:rsidRPr="003465D7" w:rsidRDefault="003465D7" w:rsidP="003465D7">
      <w:pPr>
        <w:spacing w:after="0"/>
        <w:rPr>
          <w:rFonts w:ascii="Arial" w:hAnsi="Arial" w:cs="Arial"/>
          <w:b/>
          <w:bCs/>
        </w:rPr>
      </w:pPr>
    </w:p>
    <w:p w14:paraId="1C056CF2" w14:textId="274A6888" w:rsidR="00226B52" w:rsidRPr="003465D7" w:rsidRDefault="0005705D" w:rsidP="003465D7">
      <w:pPr>
        <w:rPr>
          <w:rFonts w:ascii="Arial" w:hAnsi="Arial" w:cs="Arial"/>
        </w:rPr>
      </w:pPr>
      <w:r w:rsidRPr="003465D7">
        <w:rPr>
          <w:rFonts w:ascii="Arial" w:hAnsi="Arial" w:cs="Arial"/>
        </w:rPr>
        <w:t xml:space="preserve">This policy describes how </w:t>
      </w:r>
      <w:r w:rsidR="003465D7">
        <w:rPr>
          <w:rFonts w:ascii="Arial" w:hAnsi="Arial" w:cs="Arial"/>
        </w:rPr>
        <w:t>Great Budworth</w:t>
      </w:r>
      <w:r w:rsidRPr="003465D7">
        <w:rPr>
          <w:rFonts w:ascii="Arial" w:hAnsi="Arial" w:cs="Arial"/>
        </w:rPr>
        <w:t xml:space="preserve"> Parish Council will exercise financial prudence by making provision in its budget for General Reserves and Earmarked Reserves.</w:t>
      </w:r>
      <w:r w:rsidRPr="003465D7">
        <w:rPr>
          <w:rFonts w:ascii="Arial" w:hAnsi="Arial" w:cs="Arial"/>
          <w:sz w:val="16"/>
        </w:rPr>
        <w:t xml:space="preserve"> </w:t>
      </w:r>
    </w:p>
    <w:p w14:paraId="59280B7C" w14:textId="329C13C5" w:rsidR="00226B52" w:rsidRDefault="0005705D" w:rsidP="003465D7">
      <w:pPr>
        <w:rPr>
          <w:rFonts w:ascii="Arial" w:hAnsi="Arial" w:cs="Arial"/>
          <w:b/>
          <w:bCs/>
        </w:rPr>
      </w:pPr>
      <w:r w:rsidRPr="003465D7">
        <w:rPr>
          <w:rFonts w:ascii="Arial" w:hAnsi="Arial" w:cs="Arial"/>
          <w:sz w:val="12"/>
        </w:rPr>
        <w:t xml:space="preserve"> </w:t>
      </w:r>
      <w:r w:rsidRPr="003465D7">
        <w:rPr>
          <w:rFonts w:ascii="Arial" w:hAnsi="Arial" w:cs="Arial"/>
          <w:b/>
          <w:bCs/>
        </w:rPr>
        <w:t xml:space="preserve">Scope </w:t>
      </w:r>
    </w:p>
    <w:p w14:paraId="3188FC42" w14:textId="3634B2D2" w:rsidR="003465D7" w:rsidRDefault="0005705D" w:rsidP="003465D7">
      <w:pPr>
        <w:rPr>
          <w:rFonts w:ascii="Arial" w:hAnsi="Arial" w:cs="Arial"/>
        </w:rPr>
      </w:pPr>
      <w:r w:rsidRPr="003465D7">
        <w:rPr>
          <w:rFonts w:ascii="Arial" w:hAnsi="Arial" w:cs="Arial"/>
        </w:rPr>
        <w:t xml:space="preserve">This policy and its procedures </w:t>
      </w:r>
      <w:r w:rsidR="00F1513D">
        <w:rPr>
          <w:rFonts w:ascii="Arial" w:hAnsi="Arial" w:cs="Arial"/>
        </w:rPr>
        <w:t xml:space="preserve">are </w:t>
      </w:r>
      <w:r w:rsidRPr="003465D7">
        <w:rPr>
          <w:rFonts w:ascii="Arial" w:hAnsi="Arial" w:cs="Arial"/>
        </w:rPr>
        <w:t>applie</w:t>
      </w:r>
      <w:r w:rsidR="00F1513D">
        <w:rPr>
          <w:rFonts w:ascii="Arial" w:hAnsi="Arial" w:cs="Arial"/>
        </w:rPr>
        <w:t>d</w:t>
      </w:r>
      <w:r w:rsidRPr="003465D7">
        <w:rPr>
          <w:rFonts w:ascii="Arial" w:hAnsi="Arial" w:cs="Arial"/>
        </w:rPr>
        <w:t xml:space="preserve"> </w:t>
      </w:r>
      <w:r w:rsidR="00F1513D">
        <w:rPr>
          <w:rFonts w:ascii="Arial" w:hAnsi="Arial" w:cs="Arial"/>
        </w:rPr>
        <w:t>for</w:t>
      </w:r>
      <w:r w:rsidRPr="003465D7">
        <w:rPr>
          <w:rFonts w:ascii="Arial" w:hAnsi="Arial" w:cs="Arial"/>
        </w:rPr>
        <w:t xml:space="preserve"> the parish council’s execution of its financial obligations.</w:t>
      </w:r>
    </w:p>
    <w:p w14:paraId="704D814A" w14:textId="618E7E9C" w:rsidR="00226B52" w:rsidRPr="003465D7" w:rsidRDefault="0005705D" w:rsidP="003465D7">
      <w:pPr>
        <w:rPr>
          <w:rFonts w:ascii="Arial" w:hAnsi="Arial" w:cs="Arial"/>
        </w:rPr>
      </w:pPr>
      <w:r w:rsidRPr="003465D7">
        <w:rPr>
          <w:rFonts w:ascii="Arial" w:hAnsi="Arial" w:cs="Arial"/>
        </w:rPr>
        <w:t xml:space="preserve">This policy and its procedures will be followed by the </w:t>
      </w:r>
      <w:r w:rsidR="003465D7">
        <w:rPr>
          <w:rFonts w:ascii="Arial" w:hAnsi="Arial" w:cs="Arial"/>
        </w:rPr>
        <w:t>cl</w:t>
      </w:r>
      <w:r w:rsidRPr="003465D7">
        <w:rPr>
          <w:rFonts w:ascii="Arial" w:hAnsi="Arial" w:cs="Arial"/>
        </w:rPr>
        <w:t>erk</w:t>
      </w:r>
      <w:r w:rsidR="003465D7">
        <w:rPr>
          <w:rFonts w:ascii="Arial" w:hAnsi="Arial" w:cs="Arial"/>
        </w:rPr>
        <w:t xml:space="preserve">/RFO and </w:t>
      </w:r>
      <w:r w:rsidRPr="003465D7">
        <w:rPr>
          <w:rFonts w:ascii="Arial" w:hAnsi="Arial" w:cs="Arial"/>
        </w:rPr>
        <w:t xml:space="preserve">any other relevant employees and councillors. </w:t>
      </w:r>
    </w:p>
    <w:p w14:paraId="6865EDA4" w14:textId="12DBCD3E" w:rsidR="00226B52" w:rsidRPr="003465D7" w:rsidRDefault="0005705D" w:rsidP="003465D7">
      <w:pPr>
        <w:rPr>
          <w:rFonts w:ascii="Arial" w:hAnsi="Arial" w:cs="Arial"/>
          <w:b/>
          <w:bCs/>
        </w:rPr>
      </w:pPr>
      <w:r w:rsidRPr="003465D7">
        <w:rPr>
          <w:rFonts w:ascii="Arial" w:hAnsi="Arial" w:cs="Arial"/>
          <w:b/>
          <w:bCs/>
        </w:rPr>
        <w:t xml:space="preserve">The Legal Framework </w:t>
      </w:r>
    </w:p>
    <w:p w14:paraId="11DABD6D" w14:textId="07110B85" w:rsidR="00226B52" w:rsidRPr="003465D7" w:rsidRDefault="0005705D" w:rsidP="003465D7">
      <w:pPr>
        <w:rPr>
          <w:rFonts w:ascii="Arial" w:hAnsi="Arial" w:cs="Arial"/>
        </w:rPr>
      </w:pPr>
      <w:r w:rsidRPr="003465D7">
        <w:rPr>
          <w:rFonts w:ascii="Arial" w:hAnsi="Arial" w:cs="Arial"/>
          <w:b/>
          <w:sz w:val="16"/>
        </w:rPr>
        <w:t xml:space="preserve"> </w:t>
      </w:r>
      <w:r w:rsidRPr="003465D7">
        <w:rPr>
          <w:rFonts w:ascii="Arial" w:hAnsi="Arial" w:cs="Arial"/>
        </w:rPr>
        <w:t xml:space="preserve">The Local Audit and Accountability Act 2014 and the Local Government Act 1972 are the primary sources of legislation governing the ways in which a parish council manages its financial affairs.  </w:t>
      </w:r>
    </w:p>
    <w:p w14:paraId="0FA1A87C" w14:textId="27E086EC" w:rsidR="00226B52" w:rsidRPr="003465D7" w:rsidRDefault="0005705D" w:rsidP="003465D7">
      <w:pPr>
        <w:rPr>
          <w:rFonts w:ascii="Arial" w:hAnsi="Arial" w:cs="Arial"/>
        </w:rPr>
      </w:pPr>
      <w:r w:rsidRPr="003465D7">
        <w:rPr>
          <w:rFonts w:ascii="Arial" w:hAnsi="Arial" w:cs="Arial"/>
        </w:rPr>
        <w:t xml:space="preserve">Governance and Accountability for Smaller Authorities (the Practitioners Guide) provides local councils with guidance (some mandatory) for financial management and outlines the information required by the external auditor. </w:t>
      </w:r>
    </w:p>
    <w:p w14:paraId="47C96521" w14:textId="7F32224E" w:rsidR="00226B52" w:rsidRPr="003465D7" w:rsidRDefault="0005705D" w:rsidP="003465D7">
      <w:pPr>
        <w:rPr>
          <w:rFonts w:ascii="Arial" w:hAnsi="Arial" w:cs="Arial"/>
        </w:rPr>
      </w:pPr>
      <w:r w:rsidRPr="003465D7">
        <w:rPr>
          <w:rFonts w:ascii="Arial" w:hAnsi="Arial" w:cs="Arial"/>
        </w:rPr>
        <w:t xml:space="preserve">The Financial Regulations and Standing Orders of the council provide further guidance on financial procedures. </w:t>
      </w:r>
    </w:p>
    <w:p w14:paraId="143972CA" w14:textId="38B50D16" w:rsidR="00226B52" w:rsidRPr="003465D7" w:rsidRDefault="0005705D" w:rsidP="003465D7">
      <w:pPr>
        <w:rPr>
          <w:rFonts w:ascii="Arial" w:hAnsi="Arial" w:cs="Arial"/>
          <w:b/>
          <w:bCs/>
        </w:rPr>
      </w:pPr>
      <w:r w:rsidRPr="003465D7">
        <w:rPr>
          <w:rFonts w:ascii="Arial" w:hAnsi="Arial" w:cs="Arial"/>
          <w:b/>
          <w:bCs/>
        </w:rPr>
        <w:t xml:space="preserve">Dissemination and training </w:t>
      </w:r>
    </w:p>
    <w:p w14:paraId="7AF57404" w14:textId="214251F7" w:rsidR="00226B52" w:rsidRPr="003465D7" w:rsidRDefault="0005705D" w:rsidP="003465D7">
      <w:pPr>
        <w:rPr>
          <w:rFonts w:ascii="Arial" w:hAnsi="Arial" w:cs="Arial"/>
        </w:rPr>
      </w:pPr>
      <w:r w:rsidRPr="003465D7">
        <w:rPr>
          <w:rFonts w:ascii="Arial" w:hAnsi="Arial" w:cs="Arial"/>
        </w:rPr>
        <w:t xml:space="preserve">This policy will be available to all relevant employees, as part of the induction process for those who will deal with the council’s finances. </w:t>
      </w:r>
    </w:p>
    <w:p w14:paraId="3570A5FB" w14:textId="320B487D" w:rsidR="00226B52" w:rsidRPr="003465D7" w:rsidRDefault="0005705D" w:rsidP="003465D7">
      <w:pPr>
        <w:rPr>
          <w:rFonts w:ascii="Arial" w:hAnsi="Arial" w:cs="Arial"/>
        </w:rPr>
      </w:pPr>
      <w:r w:rsidRPr="003465D7">
        <w:rPr>
          <w:rFonts w:ascii="Arial" w:hAnsi="Arial" w:cs="Arial"/>
        </w:rPr>
        <w:t xml:space="preserve">This policy will be available to all councillors by inclusion in the Councillors Handbook. </w:t>
      </w:r>
    </w:p>
    <w:p w14:paraId="3D9C50A5" w14:textId="3E93AA6C" w:rsidR="00226B52" w:rsidRPr="003465D7" w:rsidRDefault="0005705D" w:rsidP="003465D7">
      <w:pPr>
        <w:rPr>
          <w:rFonts w:ascii="Arial" w:hAnsi="Arial" w:cs="Arial"/>
        </w:rPr>
      </w:pPr>
      <w:r w:rsidRPr="003465D7">
        <w:rPr>
          <w:rFonts w:ascii="Arial" w:hAnsi="Arial" w:cs="Arial"/>
        </w:rPr>
        <w:t>For transparency the policy will be available on the council’s website.</w:t>
      </w:r>
      <w:r w:rsidRPr="003465D7">
        <w:rPr>
          <w:rFonts w:ascii="Arial" w:hAnsi="Arial" w:cs="Arial"/>
          <w:b/>
        </w:rPr>
        <w:t xml:space="preserve"> </w:t>
      </w:r>
    </w:p>
    <w:p w14:paraId="30CEA834" w14:textId="39193033" w:rsidR="00226B52" w:rsidRPr="003465D7" w:rsidRDefault="0005705D" w:rsidP="003465D7">
      <w:pPr>
        <w:rPr>
          <w:rFonts w:ascii="Arial" w:hAnsi="Arial" w:cs="Arial"/>
          <w:b/>
          <w:bCs/>
        </w:rPr>
      </w:pPr>
      <w:r w:rsidRPr="003465D7">
        <w:rPr>
          <w:rFonts w:ascii="Arial" w:hAnsi="Arial" w:cs="Arial"/>
          <w:b/>
          <w:bCs/>
        </w:rPr>
        <w:t xml:space="preserve">Monitoring and review </w:t>
      </w:r>
    </w:p>
    <w:p w14:paraId="031799B4" w14:textId="53EEC5AA" w:rsidR="00226B52" w:rsidRPr="003465D7" w:rsidRDefault="0005705D" w:rsidP="003465D7">
      <w:pPr>
        <w:rPr>
          <w:rFonts w:ascii="Arial" w:hAnsi="Arial" w:cs="Arial"/>
        </w:rPr>
      </w:pPr>
      <w:r w:rsidRPr="003465D7">
        <w:rPr>
          <w:rFonts w:ascii="Arial" w:hAnsi="Arial" w:cs="Arial"/>
        </w:rPr>
        <w:t xml:space="preserve">A review of the policy shall be undertaken every two years when </w:t>
      </w:r>
      <w:proofErr w:type="gramStart"/>
      <w:r w:rsidRPr="003465D7">
        <w:rPr>
          <w:rFonts w:ascii="Arial" w:hAnsi="Arial" w:cs="Arial"/>
        </w:rPr>
        <w:t>necessary</w:t>
      </w:r>
      <w:proofErr w:type="gramEnd"/>
      <w:r w:rsidRPr="003465D7">
        <w:rPr>
          <w:rFonts w:ascii="Arial" w:hAnsi="Arial" w:cs="Arial"/>
        </w:rPr>
        <w:t xml:space="preserve"> amendments will be advised by the parish clerk/RFO and reviewed by the full council for approval. </w:t>
      </w:r>
    </w:p>
    <w:p w14:paraId="078F2677" w14:textId="38ED7B79" w:rsidR="003465D7" w:rsidRDefault="0005705D" w:rsidP="003465D7">
      <w:pPr>
        <w:rPr>
          <w:rFonts w:ascii="Arial" w:hAnsi="Arial" w:cs="Arial"/>
          <w:b/>
        </w:rPr>
      </w:pPr>
      <w:r w:rsidRPr="003465D7">
        <w:rPr>
          <w:rFonts w:ascii="Arial" w:hAnsi="Arial" w:cs="Arial"/>
        </w:rPr>
        <w:t>Changes in the law will be monitored and, if necessary, amendments/reviews made to the policy.</w:t>
      </w:r>
      <w:r w:rsidRPr="003465D7">
        <w:rPr>
          <w:rFonts w:ascii="Arial" w:hAnsi="Arial" w:cs="Arial"/>
          <w:b/>
        </w:rPr>
        <w:t xml:space="preserve"> </w:t>
      </w:r>
    </w:p>
    <w:p w14:paraId="4A8E8A8E" w14:textId="77777777" w:rsidR="003465D7" w:rsidRDefault="003465D7" w:rsidP="003465D7">
      <w:pPr>
        <w:rPr>
          <w:rFonts w:ascii="Arial" w:hAnsi="Arial" w:cs="Arial"/>
          <w:b/>
        </w:rPr>
      </w:pPr>
    </w:p>
    <w:p w14:paraId="3B703474" w14:textId="69786383" w:rsidR="00226B52" w:rsidRPr="003465D7" w:rsidRDefault="0005705D" w:rsidP="003465D7">
      <w:pPr>
        <w:rPr>
          <w:rFonts w:ascii="Arial" w:hAnsi="Arial" w:cs="Arial"/>
        </w:rPr>
      </w:pPr>
      <w:r w:rsidRPr="003465D7">
        <w:rPr>
          <w:rFonts w:ascii="Arial" w:hAnsi="Arial" w:cs="Arial"/>
          <w:b/>
        </w:rPr>
        <w:lastRenderedPageBreak/>
        <w:t xml:space="preserve">General Reserves </w:t>
      </w:r>
    </w:p>
    <w:p w14:paraId="5A992A78" w14:textId="79B8E151" w:rsidR="00226B52" w:rsidRPr="003465D7" w:rsidRDefault="0005705D" w:rsidP="003465D7">
      <w:pPr>
        <w:rPr>
          <w:rFonts w:ascii="Arial" w:hAnsi="Arial" w:cs="Arial"/>
        </w:rPr>
      </w:pPr>
      <w:r w:rsidRPr="003465D7">
        <w:rPr>
          <w:rFonts w:ascii="Arial" w:hAnsi="Arial" w:cs="Arial"/>
        </w:rPr>
        <w:t xml:space="preserve">General Reserves are funds which do not have any restrictions as to their use. These reserves can be used to smooth the impact of uneven cash flows, offset the budget requirement when calculating the precept or be held in case of unplanned or unexpected events or emergencies. </w:t>
      </w:r>
    </w:p>
    <w:p w14:paraId="40FF36C1" w14:textId="41449681" w:rsidR="00226B52" w:rsidRPr="003465D7" w:rsidRDefault="0005705D" w:rsidP="003465D7">
      <w:pPr>
        <w:spacing w:after="0"/>
        <w:rPr>
          <w:rFonts w:ascii="Arial" w:hAnsi="Arial" w:cs="Arial"/>
        </w:rPr>
      </w:pPr>
      <w:r w:rsidRPr="003465D7">
        <w:rPr>
          <w:rFonts w:ascii="Arial" w:hAnsi="Arial" w:cs="Arial"/>
        </w:rPr>
        <w:t xml:space="preserve">Guidance available in the Governance and Accountability for Smaller Authorities (The </w:t>
      </w:r>
    </w:p>
    <w:p w14:paraId="19E458F1" w14:textId="53202358" w:rsidR="00226B52" w:rsidRPr="003465D7" w:rsidRDefault="0005705D" w:rsidP="003465D7">
      <w:pPr>
        <w:rPr>
          <w:rFonts w:ascii="Arial" w:hAnsi="Arial" w:cs="Arial"/>
        </w:rPr>
      </w:pPr>
      <w:r w:rsidRPr="003465D7">
        <w:rPr>
          <w:rFonts w:ascii="Arial" w:hAnsi="Arial" w:cs="Arial"/>
        </w:rPr>
        <w:t xml:space="preserve">Practitioners Guide) 2020 states that “the generally accepted recommendation </w:t>
      </w:r>
      <w:proofErr w:type="gramStart"/>
      <w:r w:rsidRPr="003465D7">
        <w:rPr>
          <w:rFonts w:ascii="Arial" w:hAnsi="Arial" w:cs="Arial"/>
        </w:rPr>
        <w:t>with regard to</w:t>
      </w:r>
      <w:proofErr w:type="gramEnd"/>
      <w:r w:rsidRPr="003465D7">
        <w:rPr>
          <w:rFonts w:ascii="Arial" w:hAnsi="Arial" w:cs="Arial"/>
        </w:rPr>
        <w:t xml:space="preserve"> the appropriate minimum level of a Smaller Authority’s General Reserve is that this should be maintained at between three (3) and twelve (12) months Net Revenue Expenditure (NRE). NRE (subject to any planned surplus or deficit) is effectively Precept\Levy less any Loan Repayment and/or amounts included in Precept\Levy for Capital Projects and transfers to Earmarked Reserves. Any authority with an NRE </w:t>
      </w:r>
      <w:proofErr w:type="gramStart"/>
      <w:r w:rsidRPr="003465D7">
        <w:rPr>
          <w:rFonts w:ascii="Arial" w:hAnsi="Arial" w:cs="Arial"/>
        </w:rPr>
        <w:t>in excess of</w:t>
      </w:r>
      <w:proofErr w:type="gramEnd"/>
      <w:r w:rsidRPr="003465D7">
        <w:rPr>
          <w:rFonts w:ascii="Arial" w:hAnsi="Arial" w:cs="Arial"/>
        </w:rPr>
        <w:t xml:space="preserve"> £200,000 should plan on 3 months equivalent General Reserve.” (p.35)</w:t>
      </w:r>
      <w:r w:rsidR="003465D7">
        <w:rPr>
          <w:rFonts w:ascii="Arial" w:hAnsi="Arial" w:cs="Arial"/>
        </w:rPr>
        <w:t>, smaller authorities such as Great Budworth Parish Council can hold 12 months in general reserve.</w:t>
      </w:r>
    </w:p>
    <w:p w14:paraId="6834CC52" w14:textId="48C1FA0A" w:rsidR="00226B52" w:rsidRPr="003465D7" w:rsidRDefault="0005705D" w:rsidP="003465D7">
      <w:pPr>
        <w:rPr>
          <w:rFonts w:ascii="Arial" w:hAnsi="Arial" w:cs="Arial"/>
        </w:rPr>
      </w:pPr>
      <w:r w:rsidRPr="003465D7">
        <w:rPr>
          <w:rFonts w:ascii="Arial" w:hAnsi="Arial" w:cs="Arial"/>
        </w:rPr>
        <w:t xml:space="preserve">The Responsible Financial Officer will include a proposed </w:t>
      </w:r>
      <w:proofErr w:type="gramStart"/>
      <w:r w:rsidRPr="003465D7">
        <w:rPr>
          <w:rFonts w:ascii="Arial" w:hAnsi="Arial" w:cs="Arial"/>
        </w:rPr>
        <w:t>amount</w:t>
      </w:r>
      <w:proofErr w:type="gramEnd"/>
      <w:r w:rsidRPr="003465D7">
        <w:rPr>
          <w:rFonts w:ascii="Arial" w:hAnsi="Arial" w:cs="Arial"/>
        </w:rPr>
        <w:t xml:space="preserve"> of General Reserves in the annual forecast budget based on the recommendation above and taking into account any other local factors that might have a bearing on the amount of reserves it is prudent to hold for the forthcoming financial year. </w:t>
      </w:r>
    </w:p>
    <w:p w14:paraId="4C8F5D86" w14:textId="6B6740B0" w:rsidR="00226B52" w:rsidRPr="003465D7" w:rsidRDefault="0005705D" w:rsidP="003465D7">
      <w:pPr>
        <w:rPr>
          <w:rFonts w:ascii="Arial" w:hAnsi="Arial" w:cs="Arial"/>
        </w:rPr>
      </w:pPr>
      <w:r w:rsidRPr="003465D7">
        <w:rPr>
          <w:rFonts w:ascii="Arial" w:hAnsi="Arial" w:cs="Arial"/>
        </w:rPr>
        <w:t xml:space="preserve">The use of the General Reserves may be requested by any committee of the council but must be agreed by full council before an amount is drawn. </w:t>
      </w:r>
    </w:p>
    <w:p w14:paraId="3303C18F" w14:textId="1E72C8F9" w:rsidR="00226B52" w:rsidRPr="003465D7" w:rsidRDefault="0005705D" w:rsidP="003465D7">
      <w:pPr>
        <w:rPr>
          <w:rFonts w:ascii="Arial" w:hAnsi="Arial" w:cs="Arial"/>
        </w:rPr>
      </w:pPr>
      <w:r w:rsidRPr="003465D7">
        <w:rPr>
          <w:rFonts w:ascii="Arial" w:hAnsi="Arial" w:cs="Arial"/>
        </w:rPr>
        <w:t xml:space="preserve">In extreme circumstances, where the General Reserves are exhausted due to major unforeseen spending pressures within a particular financial year, the council will be able to draw down from its Earmarked Reserves to provide short term resources.  </w:t>
      </w:r>
    </w:p>
    <w:p w14:paraId="322569A9" w14:textId="7010678F" w:rsidR="00226B52" w:rsidRPr="003465D7" w:rsidRDefault="0005705D" w:rsidP="003465D7">
      <w:pPr>
        <w:rPr>
          <w:rFonts w:ascii="Arial" w:hAnsi="Arial" w:cs="Arial"/>
        </w:rPr>
      </w:pPr>
      <w:r w:rsidRPr="003465D7">
        <w:rPr>
          <w:rFonts w:ascii="Arial" w:hAnsi="Arial" w:cs="Arial"/>
        </w:rPr>
        <w:t xml:space="preserve">Even at times of extreme pressure on the council’s finances, the council must keep a minimum balance sufficient to </w:t>
      </w:r>
      <w:proofErr w:type="gramStart"/>
      <w:r w:rsidRPr="003465D7">
        <w:rPr>
          <w:rFonts w:ascii="Arial" w:hAnsi="Arial" w:cs="Arial"/>
        </w:rPr>
        <w:t>pay one month’s salaries to staff in General Reserves at all times</w:t>
      </w:r>
      <w:proofErr w:type="gramEnd"/>
      <w:r w:rsidRPr="003465D7">
        <w:rPr>
          <w:rFonts w:ascii="Arial" w:hAnsi="Arial" w:cs="Arial"/>
        </w:rPr>
        <w:t xml:space="preserve">. </w:t>
      </w:r>
    </w:p>
    <w:p w14:paraId="605342A6" w14:textId="5333366C" w:rsidR="00226B52" w:rsidRPr="003465D7" w:rsidRDefault="0005705D" w:rsidP="003465D7">
      <w:pPr>
        <w:rPr>
          <w:rFonts w:ascii="Arial" w:hAnsi="Arial" w:cs="Arial"/>
        </w:rPr>
      </w:pPr>
      <w:r w:rsidRPr="003465D7">
        <w:rPr>
          <w:rFonts w:ascii="Arial" w:hAnsi="Arial" w:cs="Arial"/>
        </w:rPr>
        <w:t xml:space="preserve">The balance of General Reserves will be reported </w:t>
      </w:r>
      <w:r w:rsidR="00A8726D">
        <w:rPr>
          <w:rFonts w:ascii="Arial" w:hAnsi="Arial" w:cs="Arial"/>
        </w:rPr>
        <w:t>at each parish council meeting</w:t>
      </w:r>
      <w:r w:rsidRPr="003465D7">
        <w:rPr>
          <w:rFonts w:ascii="Arial" w:hAnsi="Arial" w:cs="Arial"/>
        </w:rPr>
        <w:t xml:space="preserve">. </w:t>
      </w:r>
    </w:p>
    <w:p w14:paraId="688460B9" w14:textId="1B49152E" w:rsidR="00226B52" w:rsidRPr="003465D7" w:rsidRDefault="0005705D" w:rsidP="003465D7">
      <w:pPr>
        <w:rPr>
          <w:rFonts w:ascii="Arial" w:hAnsi="Arial" w:cs="Arial"/>
          <w:b/>
          <w:bCs/>
        </w:rPr>
      </w:pPr>
      <w:r w:rsidRPr="003465D7">
        <w:rPr>
          <w:rFonts w:ascii="Arial" w:hAnsi="Arial" w:cs="Arial"/>
          <w:b/>
          <w:bCs/>
        </w:rPr>
        <w:t xml:space="preserve">Earmarked Reserves </w:t>
      </w:r>
    </w:p>
    <w:p w14:paraId="397F8CAC" w14:textId="126B7037" w:rsidR="00226B52" w:rsidRPr="003465D7" w:rsidRDefault="0005705D" w:rsidP="003465D7">
      <w:pPr>
        <w:rPr>
          <w:rFonts w:ascii="Arial" w:hAnsi="Arial" w:cs="Arial"/>
        </w:rPr>
      </w:pPr>
      <w:r w:rsidRPr="003465D7">
        <w:rPr>
          <w:rFonts w:ascii="Arial" w:hAnsi="Arial" w:cs="Arial"/>
        </w:rPr>
        <w:t xml:space="preserve">Earmarked Reserves are amounts of money set aside </w:t>
      </w:r>
      <w:proofErr w:type="gramStart"/>
      <w:r w:rsidRPr="003465D7">
        <w:rPr>
          <w:rFonts w:ascii="Arial" w:hAnsi="Arial" w:cs="Arial"/>
        </w:rPr>
        <w:t>in order to</w:t>
      </w:r>
      <w:proofErr w:type="gramEnd"/>
      <w:r w:rsidRPr="003465D7">
        <w:rPr>
          <w:rFonts w:ascii="Arial" w:hAnsi="Arial" w:cs="Arial"/>
        </w:rPr>
        <w:t xml:space="preserve"> build up funds over several years to deliver a defined project or for known significant expenditure.  For example, such reserves can be allocated to pay for future rents, </w:t>
      </w:r>
      <w:proofErr w:type="gramStart"/>
      <w:r w:rsidRPr="003465D7">
        <w:rPr>
          <w:rFonts w:ascii="Arial" w:hAnsi="Arial" w:cs="Arial"/>
        </w:rPr>
        <w:t>leases</w:t>
      </w:r>
      <w:proofErr w:type="gramEnd"/>
      <w:r w:rsidRPr="003465D7">
        <w:rPr>
          <w:rFonts w:ascii="Arial" w:hAnsi="Arial" w:cs="Arial"/>
        </w:rPr>
        <w:t xml:space="preserve"> or election costs; to save for long-term projects such as the purchase of significant assets; to cover any excess payment in the event of an insurance claim; to provide for the eventual replacement of</w:t>
      </w:r>
      <w:r w:rsidRPr="003465D7">
        <w:rPr>
          <w:rFonts w:ascii="Arial" w:hAnsi="Arial" w:cs="Arial"/>
          <w:strike/>
        </w:rPr>
        <w:t xml:space="preserve"> </w:t>
      </w:r>
      <w:r w:rsidRPr="003465D7">
        <w:rPr>
          <w:rFonts w:ascii="Arial" w:hAnsi="Arial" w:cs="Arial"/>
        </w:rPr>
        <w:t xml:space="preserve">items of equipment such as computers. </w:t>
      </w:r>
    </w:p>
    <w:p w14:paraId="76DB33E6" w14:textId="2F2AF6F4" w:rsidR="00226B52" w:rsidRPr="003465D7" w:rsidRDefault="0005705D" w:rsidP="003465D7">
      <w:pPr>
        <w:rPr>
          <w:rFonts w:ascii="Arial" w:hAnsi="Arial" w:cs="Arial"/>
        </w:rPr>
      </w:pPr>
      <w:r w:rsidRPr="003465D7">
        <w:rPr>
          <w:rFonts w:ascii="Arial" w:hAnsi="Arial" w:cs="Arial"/>
        </w:rPr>
        <w:t xml:space="preserve">Each amount earmarked will be shown as a separate line in the forecast budget and the balances reported </w:t>
      </w:r>
      <w:r w:rsidR="003465D7">
        <w:rPr>
          <w:rFonts w:ascii="Arial" w:hAnsi="Arial" w:cs="Arial"/>
        </w:rPr>
        <w:t>at each parish council meeting to the full council.</w:t>
      </w:r>
      <w:r w:rsidRPr="003465D7">
        <w:rPr>
          <w:rFonts w:ascii="Arial" w:hAnsi="Arial" w:cs="Arial"/>
        </w:rPr>
        <w:t xml:space="preserve"> </w:t>
      </w:r>
    </w:p>
    <w:p w14:paraId="52630041" w14:textId="0036DA7A" w:rsidR="00226B52" w:rsidRPr="003465D7" w:rsidRDefault="0005705D" w:rsidP="003465D7">
      <w:pPr>
        <w:rPr>
          <w:rFonts w:ascii="Arial" w:hAnsi="Arial" w:cs="Arial"/>
        </w:rPr>
      </w:pPr>
      <w:r w:rsidRPr="003465D7">
        <w:rPr>
          <w:rFonts w:ascii="Arial" w:hAnsi="Arial" w:cs="Arial"/>
        </w:rPr>
        <w:t xml:space="preserve">Earmarked Reserves may be drawn down </w:t>
      </w:r>
      <w:r w:rsidR="003465D7">
        <w:rPr>
          <w:rFonts w:ascii="Arial" w:hAnsi="Arial" w:cs="Arial"/>
        </w:rPr>
        <w:t>as necessary.</w:t>
      </w:r>
    </w:p>
    <w:p w14:paraId="3B0DA7A3" w14:textId="67A70B67" w:rsidR="00226B52" w:rsidRPr="003465D7" w:rsidRDefault="0005705D" w:rsidP="003465D7">
      <w:pPr>
        <w:rPr>
          <w:rFonts w:ascii="Arial" w:hAnsi="Arial" w:cs="Arial"/>
        </w:rPr>
      </w:pPr>
      <w:r w:rsidRPr="003465D7">
        <w:rPr>
          <w:rFonts w:ascii="Arial" w:hAnsi="Arial" w:cs="Arial"/>
        </w:rPr>
        <w:t xml:space="preserve">The purpose and level of Earmarked Reserves will be reviewed annually.   The balance of the fund will be carried forward to the next financial year unless the purpose of the allocation has concluded or is no longer considered necessary.  </w:t>
      </w:r>
    </w:p>
    <w:p w14:paraId="15E4F2E2" w14:textId="7CA6F69B" w:rsidR="00226B52" w:rsidRDefault="0005705D" w:rsidP="003465D7">
      <w:pPr>
        <w:rPr>
          <w:rFonts w:ascii="Arial" w:hAnsi="Arial" w:cs="Arial"/>
          <w:b/>
        </w:rPr>
      </w:pPr>
      <w:r w:rsidRPr="003465D7">
        <w:rPr>
          <w:rFonts w:ascii="Arial" w:hAnsi="Arial" w:cs="Arial"/>
        </w:rPr>
        <w:t>Earmarked Reserves will only be used for the purpose for which they have been allocated.   Any excess funds remaining at the conclusion of the project or purchase will be returned to General Reserves.</w:t>
      </w:r>
      <w:r w:rsidRPr="003465D7">
        <w:rPr>
          <w:rFonts w:ascii="Arial" w:hAnsi="Arial" w:cs="Arial"/>
          <w:b/>
        </w:rPr>
        <w:t xml:space="preserve"> </w:t>
      </w:r>
    </w:p>
    <w:p w14:paraId="66F0CA46" w14:textId="77777777" w:rsidR="005A63C2" w:rsidRDefault="005A63C2" w:rsidP="005A63C2">
      <w:pPr>
        <w:spacing w:after="0" w:line="240" w:lineRule="auto"/>
        <w:rPr>
          <w:shd w:val="clear" w:color="auto" w:fill="FFFF00"/>
        </w:rPr>
      </w:pPr>
      <w:r w:rsidRPr="003F5C83">
        <w:t>Log:</w:t>
      </w:r>
    </w:p>
    <w:p w14:paraId="3E8CCB1A" w14:textId="77777777" w:rsidR="005A63C2" w:rsidRDefault="005A63C2" w:rsidP="005A63C2">
      <w:pPr>
        <w:spacing w:after="0" w:line="240" w:lineRule="auto"/>
        <w:rPr>
          <w:shd w:val="clear" w:color="auto" w:fill="FFFF00"/>
        </w:rPr>
      </w:pPr>
    </w:p>
    <w:tbl>
      <w:tblPr>
        <w:tblW w:w="9918" w:type="dxa"/>
        <w:tblCellMar>
          <w:left w:w="10" w:type="dxa"/>
          <w:right w:w="10" w:type="dxa"/>
        </w:tblCellMar>
        <w:tblLook w:val="0000" w:firstRow="0" w:lastRow="0" w:firstColumn="0" w:lastColumn="0" w:noHBand="0" w:noVBand="0"/>
      </w:tblPr>
      <w:tblGrid>
        <w:gridCol w:w="2091"/>
        <w:gridCol w:w="2157"/>
        <w:gridCol w:w="1134"/>
        <w:gridCol w:w="1550"/>
        <w:gridCol w:w="1539"/>
        <w:gridCol w:w="1447"/>
      </w:tblGrid>
      <w:tr w:rsidR="005A63C2" w14:paraId="690ADB62" w14:textId="77777777" w:rsidTr="00EA1B05">
        <w:tblPrEx>
          <w:tblCellMar>
            <w:top w:w="0" w:type="dxa"/>
            <w:bottom w:w="0" w:type="dxa"/>
          </w:tblCellMar>
        </w:tblPrEx>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87EF6" w14:textId="77777777" w:rsidR="005A63C2" w:rsidRDefault="005A63C2" w:rsidP="00EA1B05">
            <w:pPr>
              <w:spacing w:after="0" w:line="240" w:lineRule="auto"/>
              <w:rPr>
                <w:rFonts w:cs="Aptos"/>
                <w:b/>
                <w:bCs/>
                <w:kern w:val="0"/>
                <w:sz w:val="18"/>
                <w:szCs w:val="18"/>
                <w:shd w:val="clear" w:color="auto" w:fill="FFFF00"/>
              </w:rPr>
            </w:pPr>
            <w:r w:rsidRPr="003F5C83">
              <w:rPr>
                <w:rFonts w:ascii="Aptos" w:eastAsia="Aptos" w:hAnsi="Aptos" w:cs="Aptos"/>
                <w:b/>
                <w:bCs/>
                <w:kern w:val="0"/>
                <w:sz w:val="18"/>
                <w:szCs w:val="18"/>
              </w:rPr>
              <w:t>Points Changed</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B6706" w14:textId="77777777" w:rsidR="005A63C2" w:rsidRDefault="005A63C2" w:rsidP="00EA1B05">
            <w:pPr>
              <w:spacing w:after="0" w:line="240" w:lineRule="auto"/>
              <w:rPr>
                <w:rFonts w:cs="Aptos"/>
                <w:b/>
                <w:bCs/>
                <w:kern w:val="0"/>
                <w:sz w:val="18"/>
                <w:szCs w:val="18"/>
                <w:shd w:val="clear" w:color="auto" w:fill="FFFF00"/>
              </w:rPr>
            </w:pPr>
            <w:r w:rsidRPr="003F5C83">
              <w:rPr>
                <w:rFonts w:ascii="Aptos" w:eastAsia="Aptos" w:hAnsi="Aptos" w:cs="Aptos"/>
                <w:b/>
                <w:bCs/>
                <w:kern w:val="0"/>
                <w:sz w:val="18"/>
                <w:szCs w:val="18"/>
              </w:rPr>
              <w:t>Changes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C5236" w14:textId="77777777" w:rsidR="005A63C2" w:rsidRDefault="005A63C2" w:rsidP="00EA1B05">
            <w:pPr>
              <w:spacing w:after="0" w:line="240" w:lineRule="auto"/>
              <w:rPr>
                <w:rFonts w:cs="Aptos"/>
                <w:b/>
                <w:bCs/>
                <w:kern w:val="0"/>
                <w:sz w:val="18"/>
                <w:szCs w:val="18"/>
                <w:shd w:val="clear" w:color="auto" w:fill="FFFF00"/>
              </w:rPr>
            </w:pPr>
            <w:r w:rsidRPr="003F5C83">
              <w:rPr>
                <w:rFonts w:ascii="Aptos" w:eastAsia="Aptos" w:hAnsi="Aptos" w:cs="Aptos"/>
                <w:b/>
                <w:bCs/>
                <w:kern w:val="0"/>
                <w:sz w:val="18"/>
                <w:szCs w:val="18"/>
              </w:rPr>
              <w:t>Date</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A8D00" w14:textId="77777777" w:rsidR="005A63C2" w:rsidRDefault="005A63C2" w:rsidP="00EA1B05">
            <w:pPr>
              <w:spacing w:after="0" w:line="240" w:lineRule="auto"/>
              <w:rPr>
                <w:rFonts w:cs="Aptos"/>
                <w:b/>
                <w:bCs/>
                <w:kern w:val="0"/>
                <w:sz w:val="18"/>
                <w:szCs w:val="18"/>
                <w:shd w:val="clear" w:color="auto" w:fill="FFFF00"/>
              </w:rPr>
            </w:pPr>
            <w:r w:rsidRPr="003F5C83">
              <w:rPr>
                <w:rFonts w:ascii="Aptos" w:eastAsia="Aptos" w:hAnsi="Aptos" w:cs="Aptos"/>
                <w:b/>
                <w:bCs/>
                <w:kern w:val="0"/>
                <w:sz w:val="18"/>
                <w:szCs w:val="18"/>
              </w:rPr>
              <w:t>Changes</w:t>
            </w:r>
            <w:r>
              <w:rPr>
                <w:rFonts w:ascii="Aptos" w:eastAsia="Aptos" w:hAnsi="Aptos" w:cs="Aptos"/>
                <w:b/>
                <w:bCs/>
                <w:kern w:val="0"/>
                <w:sz w:val="18"/>
                <w:szCs w:val="18"/>
                <w:shd w:val="clear" w:color="auto" w:fill="FFFF00"/>
              </w:rPr>
              <w:t xml:space="preserve"> </w:t>
            </w:r>
            <w:r w:rsidRPr="003F5C83">
              <w:rPr>
                <w:rFonts w:ascii="Aptos" w:eastAsia="Aptos" w:hAnsi="Aptos" w:cs="Aptos"/>
                <w:b/>
                <w:bCs/>
                <w:kern w:val="0"/>
                <w:sz w:val="18"/>
                <w:szCs w:val="18"/>
              </w:rPr>
              <w:t>perfo</w:t>
            </w:r>
            <w:r w:rsidRPr="003F5C83">
              <w:rPr>
                <w:rFonts w:cs="Aptos"/>
                <w:b/>
                <w:bCs/>
                <w:kern w:val="0"/>
                <w:sz w:val="18"/>
                <w:szCs w:val="18"/>
              </w:rPr>
              <w:t>r</w:t>
            </w:r>
            <w:r w:rsidRPr="003F5C83">
              <w:rPr>
                <w:rFonts w:ascii="Aptos" w:eastAsia="Aptos" w:hAnsi="Aptos" w:cs="Aptos"/>
                <w:b/>
                <w:bCs/>
                <w:kern w:val="0"/>
                <w:sz w:val="18"/>
                <w:szCs w:val="18"/>
              </w:rPr>
              <w:t>med by</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0195B" w14:textId="77777777" w:rsidR="005A63C2" w:rsidRDefault="005A63C2" w:rsidP="00EA1B05">
            <w:pPr>
              <w:spacing w:after="0" w:line="240" w:lineRule="auto"/>
              <w:rPr>
                <w:rFonts w:cs="Aptos"/>
                <w:b/>
                <w:bCs/>
                <w:kern w:val="0"/>
                <w:sz w:val="18"/>
                <w:szCs w:val="18"/>
                <w:shd w:val="clear" w:color="auto" w:fill="FFFF00"/>
              </w:rPr>
            </w:pPr>
            <w:r w:rsidRPr="003F5C83">
              <w:rPr>
                <w:rFonts w:ascii="Aptos" w:eastAsia="Aptos" w:hAnsi="Aptos" w:cs="Aptos"/>
                <w:b/>
                <w:bCs/>
                <w:kern w:val="0"/>
                <w:sz w:val="18"/>
                <w:szCs w:val="18"/>
              </w:rPr>
              <w:t>Agreed at PC</w:t>
            </w:r>
            <w:r>
              <w:rPr>
                <w:rFonts w:ascii="Aptos" w:eastAsia="Aptos" w:hAnsi="Aptos" w:cs="Aptos"/>
                <w:b/>
                <w:bCs/>
                <w:kern w:val="0"/>
                <w:sz w:val="18"/>
                <w:szCs w:val="18"/>
                <w:shd w:val="clear" w:color="auto" w:fill="FFFF00"/>
              </w:rPr>
              <w:t xml:space="preserve"> </w:t>
            </w:r>
            <w:r w:rsidRPr="003F5C83">
              <w:rPr>
                <w:rFonts w:ascii="Aptos" w:eastAsia="Aptos" w:hAnsi="Aptos" w:cs="Aptos"/>
                <w:b/>
                <w:bCs/>
                <w:kern w:val="0"/>
                <w:sz w:val="18"/>
                <w:szCs w:val="18"/>
              </w:rPr>
              <w:t>meeting</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9B3FE" w14:textId="77777777" w:rsidR="005A63C2" w:rsidRDefault="005A63C2" w:rsidP="00EA1B05">
            <w:pPr>
              <w:spacing w:after="0" w:line="240" w:lineRule="auto"/>
              <w:rPr>
                <w:rFonts w:cs="Aptos"/>
                <w:b/>
                <w:bCs/>
                <w:kern w:val="0"/>
                <w:sz w:val="18"/>
                <w:szCs w:val="18"/>
                <w:shd w:val="clear" w:color="auto" w:fill="FFFF00"/>
              </w:rPr>
            </w:pPr>
            <w:r w:rsidRPr="003F5C83">
              <w:rPr>
                <w:rFonts w:ascii="Aptos" w:eastAsia="Aptos" w:hAnsi="Aptos" w:cs="Aptos"/>
                <w:b/>
                <w:bCs/>
                <w:kern w:val="0"/>
                <w:sz w:val="18"/>
                <w:szCs w:val="18"/>
              </w:rPr>
              <w:t>Signed</w:t>
            </w:r>
          </w:p>
        </w:tc>
      </w:tr>
      <w:tr w:rsidR="005A63C2" w14:paraId="0A94A47E" w14:textId="77777777" w:rsidTr="00EA1B05">
        <w:tblPrEx>
          <w:tblCellMar>
            <w:top w:w="0" w:type="dxa"/>
            <w:bottom w:w="0" w:type="dxa"/>
          </w:tblCellMar>
        </w:tblPrEx>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1CB6" w14:textId="77777777" w:rsidR="005A63C2" w:rsidRDefault="005A63C2" w:rsidP="00EA1B05">
            <w:pPr>
              <w:spacing w:after="0" w:line="240" w:lineRule="auto"/>
              <w:rPr>
                <w:rFonts w:cs="Aptos"/>
                <w:kern w:val="0"/>
                <w:szCs w:val="22"/>
                <w:shd w:val="clear" w:color="auto" w:fill="FFFF00"/>
              </w:rPr>
            </w:pPr>
            <w:r w:rsidRPr="003F5C83">
              <w:rPr>
                <w:rFonts w:ascii="Aptos" w:eastAsia="Aptos" w:hAnsi="Aptos" w:cs="Aptos"/>
                <w:kern w:val="0"/>
                <w:szCs w:val="22"/>
              </w:rPr>
              <w:t>Whole Document</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D5159" w14:textId="77777777" w:rsidR="005A63C2" w:rsidRDefault="005A63C2" w:rsidP="00EA1B05">
            <w:pPr>
              <w:spacing w:after="0" w:line="240" w:lineRule="auto"/>
              <w:ind w:left="24" w:hanging="9"/>
              <w:rPr>
                <w:rFonts w:cs="Aptos"/>
                <w:kern w:val="0"/>
                <w:szCs w:val="22"/>
                <w:shd w:val="clear" w:color="auto" w:fill="FFFF00"/>
              </w:rPr>
            </w:pPr>
            <w:r w:rsidRPr="003F5C83">
              <w:rPr>
                <w:rFonts w:ascii="Aptos" w:eastAsia="Aptos" w:hAnsi="Aptos" w:cs="Aptos"/>
                <w:kern w:val="0"/>
                <w:szCs w:val="22"/>
              </w:rPr>
              <w:t>Document created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6BE5D" w14:textId="77777777" w:rsidR="005A63C2" w:rsidRDefault="005A63C2" w:rsidP="00EA1B05">
            <w:pPr>
              <w:spacing w:after="0" w:line="240" w:lineRule="auto"/>
              <w:rPr>
                <w:rFonts w:cs="Aptos"/>
                <w:kern w:val="0"/>
                <w:szCs w:val="22"/>
                <w:shd w:val="clear" w:color="auto" w:fill="FFFF00"/>
              </w:rPr>
            </w:pPr>
            <w:r>
              <w:rPr>
                <w:rFonts w:ascii="Aptos" w:eastAsia="Aptos" w:hAnsi="Aptos" w:cs="Aptos"/>
                <w:kern w:val="0"/>
                <w:szCs w:val="22"/>
              </w:rPr>
              <w:t>19</w:t>
            </w:r>
            <w:r w:rsidRPr="003F5C83">
              <w:rPr>
                <w:rFonts w:ascii="Aptos" w:eastAsia="Aptos" w:hAnsi="Aptos" w:cs="Aptos"/>
                <w:kern w:val="0"/>
                <w:szCs w:val="22"/>
              </w:rPr>
              <w:t>/0</w:t>
            </w:r>
            <w:r>
              <w:rPr>
                <w:rFonts w:ascii="Aptos" w:eastAsia="Aptos" w:hAnsi="Aptos" w:cs="Aptos"/>
                <w:kern w:val="0"/>
                <w:szCs w:val="22"/>
              </w:rPr>
              <w:t>4</w:t>
            </w:r>
            <w:r w:rsidRPr="003F5C83">
              <w:rPr>
                <w:rFonts w:ascii="Aptos" w:eastAsia="Aptos" w:hAnsi="Aptos" w:cs="Aptos"/>
                <w:kern w:val="0"/>
                <w:szCs w:val="22"/>
              </w:rPr>
              <w:t>/24</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1D984" w14:textId="77777777" w:rsidR="005A63C2" w:rsidRDefault="005A63C2" w:rsidP="00EA1B05">
            <w:pPr>
              <w:spacing w:after="0" w:line="240" w:lineRule="auto"/>
            </w:pPr>
            <w:r w:rsidRPr="003F5C83">
              <w:rPr>
                <w:rFonts w:ascii="Aptos" w:eastAsia="Aptos" w:hAnsi="Aptos" w:cs="Aptos"/>
                <w:kern w:val="0"/>
                <w:szCs w:val="22"/>
              </w:rPr>
              <w:t>C Constable</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26DB9" w14:textId="77777777" w:rsidR="005A63C2" w:rsidRDefault="005A63C2" w:rsidP="00EA1B05">
            <w:pPr>
              <w:spacing w:after="0" w:line="240" w:lineRule="auto"/>
              <w:rPr>
                <w:rFonts w:cs="Aptos"/>
                <w:kern w:val="0"/>
                <w:szCs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84B12" w14:textId="77777777" w:rsidR="005A63C2" w:rsidRDefault="005A63C2" w:rsidP="00EA1B05">
            <w:pPr>
              <w:spacing w:after="0" w:line="240" w:lineRule="auto"/>
              <w:rPr>
                <w:rFonts w:cs="Aptos"/>
                <w:kern w:val="0"/>
                <w:szCs w:val="22"/>
              </w:rPr>
            </w:pPr>
          </w:p>
        </w:tc>
      </w:tr>
      <w:tr w:rsidR="005A63C2" w14:paraId="2FA03846" w14:textId="77777777" w:rsidTr="00EA1B05">
        <w:tblPrEx>
          <w:tblCellMar>
            <w:top w:w="0" w:type="dxa"/>
            <w:bottom w:w="0" w:type="dxa"/>
          </w:tblCellMar>
        </w:tblPrEx>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73D09" w14:textId="77777777" w:rsidR="005A63C2" w:rsidRDefault="005A63C2" w:rsidP="00EA1B05">
            <w:pPr>
              <w:spacing w:after="0" w:line="240" w:lineRule="auto"/>
              <w:rPr>
                <w:rFonts w:cs="Aptos"/>
                <w:kern w:val="0"/>
                <w:szCs w:val="22"/>
              </w:rPr>
            </w:pPr>
            <w:r>
              <w:rPr>
                <w:rFonts w:ascii="Aptos" w:eastAsia="Aptos" w:hAnsi="Aptos" w:cs="Aptos"/>
                <w:kern w:val="0"/>
                <w:szCs w:val="22"/>
              </w:rPr>
              <w:t>Whole Document</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D2BC8" w14:textId="77777777" w:rsidR="005A63C2" w:rsidRDefault="005A63C2" w:rsidP="00EA1B05">
            <w:pPr>
              <w:spacing w:after="0" w:line="240" w:lineRule="auto"/>
              <w:rPr>
                <w:rFonts w:cs="Aptos"/>
                <w:kern w:val="0"/>
                <w:szCs w:val="22"/>
              </w:rPr>
            </w:pPr>
            <w:r>
              <w:rPr>
                <w:rFonts w:ascii="Aptos" w:eastAsia="Aptos" w:hAnsi="Aptos" w:cs="Aptos"/>
                <w:kern w:val="0"/>
                <w:szCs w:val="22"/>
              </w:rPr>
              <w:t>Document adopted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56342" w14:textId="77777777" w:rsidR="005A63C2" w:rsidRDefault="005A63C2" w:rsidP="00EA1B05">
            <w:pPr>
              <w:spacing w:after="0" w:line="240" w:lineRule="auto"/>
              <w:rPr>
                <w:rFonts w:cs="Aptos"/>
                <w:kern w:val="0"/>
                <w:szCs w:val="22"/>
              </w:rPr>
            </w:pPr>
            <w:r>
              <w:rPr>
                <w:rFonts w:ascii="Aptos" w:eastAsia="Aptos" w:hAnsi="Aptos" w:cs="Aptos"/>
                <w:kern w:val="0"/>
                <w:szCs w:val="22"/>
              </w:rPr>
              <w:t>07/05/24</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BF61" w14:textId="77777777" w:rsidR="005A63C2" w:rsidRDefault="005A63C2" w:rsidP="00EA1B05">
            <w:pPr>
              <w:spacing w:after="0" w:line="240" w:lineRule="auto"/>
              <w:rPr>
                <w:rFonts w:cs="Aptos"/>
                <w:kern w:val="0"/>
                <w:szCs w:val="22"/>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3D55E" w14:textId="77777777" w:rsidR="005A63C2" w:rsidRDefault="005A63C2" w:rsidP="00EA1B05">
            <w:pPr>
              <w:spacing w:after="0" w:line="240" w:lineRule="auto"/>
              <w:rPr>
                <w:rFonts w:cs="Aptos"/>
                <w:kern w:val="0"/>
                <w:szCs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D248F" w14:textId="77777777" w:rsidR="005A63C2" w:rsidRDefault="005A63C2" w:rsidP="00EA1B05">
            <w:pPr>
              <w:spacing w:after="0" w:line="240" w:lineRule="auto"/>
              <w:rPr>
                <w:rFonts w:cs="Aptos"/>
                <w:kern w:val="0"/>
                <w:szCs w:val="22"/>
              </w:rPr>
            </w:pPr>
          </w:p>
        </w:tc>
      </w:tr>
      <w:tr w:rsidR="005A63C2" w14:paraId="0264DD6E" w14:textId="77777777" w:rsidTr="00EA1B05">
        <w:tblPrEx>
          <w:tblCellMar>
            <w:top w:w="0" w:type="dxa"/>
            <w:bottom w:w="0" w:type="dxa"/>
          </w:tblCellMar>
        </w:tblPrEx>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BA35B" w14:textId="77777777" w:rsidR="005A63C2" w:rsidRDefault="005A63C2" w:rsidP="00EA1B05">
            <w:pPr>
              <w:spacing w:after="0" w:line="240" w:lineRule="auto"/>
              <w:rPr>
                <w:rFonts w:cs="Aptos"/>
                <w:kern w:val="0"/>
                <w:szCs w:val="22"/>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6B04D" w14:textId="77777777" w:rsidR="005A63C2" w:rsidRDefault="005A63C2" w:rsidP="00EA1B05">
            <w:pPr>
              <w:spacing w:after="0" w:line="240" w:lineRule="auto"/>
              <w:rPr>
                <w:rFonts w:cs="Aptos"/>
                <w:kern w:val="0"/>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65670" w14:textId="77777777" w:rsidR="005A63C2" w:rsidRDefault="005A63C2" w:rsidP="00EA1B05">
            <w:pPr>
              <w:spacing w:after="0" w:line="240" w:lineRule="auto"/>
              <w:rPr>
                <w:rFonts w:cs="Aptos"/>
                <w:kern w:val="0"/>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EBFB6" w14:textId="77777777" w:rsidR="005A63C2" w:rsidRDefault="005A63C2" w:rsidP="00EA1B05">
            <w:pPr>
              <w:spacing w:after="0" w:line="240" w:lineRule="auto"/>
              <w:rPr>
                <w:rFonts w:cs="Aptos"/>
                <w:kern w:val="0"/>
                <w:szCs w:val="22"/>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D655C" w14:textId="77777777" w:rsidR="005A63C2" w:rsidRDefault="005A63C2" w:rsidP="00EA1B05">
            <w:pPr>
              <w:spacing w:after="0" w:line="240" w:lineRule="auto"/>
              <w:rPr>
                <w:rFonts w:cs="Aptos"/>
                <w:kern w:val="0"/>
                <w:szCs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655C2" w14:textId="77777777" w:rsidR="005A63C2" w:rsidRDefault="005A63C2" w:rsidP="00EA1B05">
            <w:pPr>
              <w:spacing w:after="0" w:line="240" w:lineRule="auto"/>
              <w:rPr>
                <w:rFonts w:cs="Aptos"/>
                <w:kern w:val="0"/>
                <w:szCs w:val="22"/>
              </w:rPr>
            </w:pPr>
          </w:p>
        </w:tc>
      </w:tr>
    </w:tbl>
    <w:p w14:paraId="15B34DDC" w14:textId="77777777" w:rsidR="005A63C2" w:rsidRDefault="005A63C2" w:rsidP="00151154">
      <w:pPr>
        <w:spacing w:after="0" w:line="240" w:lineRule="auto"/>
        <w:ind w:left="0" w:firstLine="0"/>
        <w:rPr>
          <w:rFonts w:ascii="Arial" w:hAnsi="Arial" w:cs="Arial"/>
          <w:szCs w:val="22"/>
          <w:highlight w:val="yellow"/>
        </w:rPr>
      </w:pPr>
    </w:p>
    <w:p w14:paraId="1E7391B4" w14:textId="77777777" w:rsidR="005A63C2" w:rsidRDefault="005A63C2" w:rsidP="00151154">
      <w:pPr>
        <w:spacing w:after="0" w:line="240" w:lineRule="auto"/>
        <w:ind w:left="0" w:firstLine="0"/>
        <w:rPr>
          <w:rFonts w:ascii="Arial" w:hAnsi="Arial" w:cs="Arial"/>
          <w:szCs w:val="22"/>
          <w:highlight w:val="yellow"/>
        </w:rPr>
      </w:pPr>
    </w:p>
    <w:p w14:paraId="063E5875" w14:textId="77777777" w:rsidR="00151154" w:rsidRPr="003465D7" w:rsidRDefault="00151154" w:rsidP="003465D7">
      <w:pPr>
        <w:rPr>
          <w:rFonts w:ascii="Arial" w:hAnsi="Arial" w:cs="Arial"/>
        </w:rPr>
      </w:pPr>
    </w:p>
    <w:sectPr w:rsidR="00151154" w:rsidRPr="003465D7">
      <w:headerReference w:type="default" r:id="rId7"/>
      <w:footerReference w:type="default" r:id="rId8"/>
      <w:pgSz w:w="11906" w:h="16838"/>
      <w:pgMar w:top="1483" w:right="1449" w:bottom="16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EF63D" w14:textId="77777777" w:rsidR="00B144DF" w:rsidRDefault="00B144DF" w:rsidP="003465D7">
      <w:pPr>
        <w:spacing w:after="0" w:line="240" w:lineRule="auto"/>
      </w:pPr>
      <w:r>
        <w:separator/>
      </w:r>
    </w:p>
  </w:endnote>
  <w:endnote w:type="continuationSeparator" w:id="0">
    <w:p w14:paraId="235ECFD6" w14:textId="77777777" w:rsidR="00B144DF" w:rsidRDefault="00B144DF" w:rsidP="0034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7913327"/>
      <w:docPartObj>
        <w:docPartGallery w:val="Page Numbers (Bottom of Page)"/>
        <w:docPartUnique/>
      </w:docPartObj>
    </w:sdtPr>
    <w:sdtContent>
      <w:p w14:paraId="6078190F" w14:textId="4A628CF6" w:rsidR="003465D7" w:rsidRDefault="003465D7">
        <w:pPr>
          <w:pStyle w:val="Footer"/>
          <w:jc w:val="right"/>
        </w:pPr>
        <w:r>
          <w:fldChar w:fldCharType="begin"/>
        </w:r>
        <w:r>
          <w:instrText>PAGE   \* MERGEFORMAT</w:instrText>
        </w:r>
        <w:r>
          <w:fldChar w:fldCharType="separate"/>
        </w:r>
        <w:r>
          <w:t>2</w:t>
        </w:r>
        <w:r>
          <w:fldChar w:fldCharType="end"/>
        </w:r>
      </w:p>
    </w:sdtContent>
  </w:sdt>
  <w:p w14:paraId="483B6DA1" w14:textId="77777777" w:rsidR="003465D7" w:rsidRDefault="00346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7E9FB7" w14:textId="77777777" w:rsidR="00B144DF" w:rsidRDefault="00B144DF" w:rsidP="003465D7">
      <w:pPr>
        <w:spacing w:after="0" w:line="240" w:lineRule="auto"/>
      </w:pPr>
      <w:r>
        <w:separator/>
      </w:r>
    </w:p>
  </w:footnote>
  <w:footnote w:type="continuationSeparator" w:id="0">
    <w:p w14:paraId="31224FF7" w14:textId="77777777" w:rsidR="00B144DF" w:rsidRDefault="00B144DF" w:rsidP="00346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4CF3B" w14:textId="39D02008" w:rsidR="003465D7" w:rsidRDefault="003465D7" w:rsidP="003465D7">
    <w:pPr>
      <w:pStyle w:val="Header"/>
      <w:rPr>
        <w:rFonts w:ascii="Arial" w:hAnsi="Arial" w:cs="Arial"/>
        <w:sz w:val="18"/>
        <w:szCs w:val="18"/>
        <w:shd w:val="clear" w:color="auto" w:fill="FFFF00"/>
      </w:rPr>
    </w:pPr>
    <w:r w:rsidRPr="005A63C2">
      <w:rPr>
        <w:rFonts w:ascii="Arial" w:hAnsi="Arial" w:cs="Arial"/>
        <w:sz w:val="18"/>
        <w:szCs w:val="18"/>
      </w:rPr>
      <w:t>Great Budworth Parish Council</w:t>
    </w:r>
    <w:r>
      <w:rPr>
        <w:rFonts w:ascii="Arial" w:hAnsi="Arial" w:cs="Arial"/>
        <w:sz w:val="18"/>
        <w:szCs w:val="18"/>
      </w:rPr>
      <w:tab/>
    </w:r>
    <w:r>
      <w:rPr>
        <w:rFonts w:ascii="Arial" w:hAnsi="Arial" w:cs="Arial"/>
        <w:sz w:val="18"/>
        <w:szCs w:val="18"/>
      </w:rPr>
      <w:tab/>
    </w:r>
    <w:r w:rsidRPr="005A63C2">
      <w:rPr>
        <w:rFonts w:ascii="Arial" w:hAnsi="Arial" w:cs="Arial"/>
        <w:sz w:val="18"/>
        <w:szCs w:val="18"/>
      </w:rPr>
      <w:t>Reserves Policy</w:t>
    </w:r>
  </w:p>
  <w:p w14:paraId="5A04AD48" w14:textId="77777777" w:rsidR="003465D7" w:rsidRDefault="0034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490963"/>
    <w:multiLevelType w:val="hybridMultilevel"/>
    <w:tmpl w:val="9B72EBDE"/>
    <w:lvl w:ilvl="0" w:tplc="5D7CB95E">
      <w:start w:val="2"/>
      <w:numFmt w:val="decimal"/>
      <w:lvlText w:val="%1."/>
      <w:lvlJc w:val="left"/>
      <w:pPr>
        <w:ind w:left="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1230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4611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6828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A2B5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42B3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649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189F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E22A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2043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B52"/>
    <w:rsid w:val="0005705D"/>
    <w:rsid w:val="00151154"/>
    <w:rsid w:val="00226B52"/>
    <w:rsid w:val="003465D7"/>
    <w:rsid w:val="005A63C2"/>
    <w:rsid w:val="00A70DE4"/>
    <w:rsid w:val="00A8726D"/>
    <w:rsid w:val="00B144DF"/>
    <w:rsid w:val="00D02936"/>
    <w:rsid w:val="00F15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3415"/>
  <w15:docId w15:val="{DE958845-A6CF-429F-A4FE-53F93F04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48"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left="10"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nhideWhenUsed/>
    <w:rsid w:val="00346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5D7"/>
    <w:rPr>
      <w:rFonts w:ascii="Calibri" w:eastAsia="Calibri" w:hAnsi="Calibri" w:cs="Calibri"/>
      <w:color w:val="000000"/>
      <w:sz w:val="22"/>
    </w:rPr>
  </w:style>
  <w:style w:type="paragraph" w:styleId="Footer">
    <w:name w:val="footer"/>
    <w:basedOn w:val="Normal"/>
    <w:link w:val="FooterChar"/>
    <w:uiPriority w:val="99"/>
    <w:unhideWhenUsed/>
    <w:rsid w:val="00346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5D7"/>
    <w:rPr>
      <w:rFonts w:ascii="Calibri" w:eastAsia="Calibri" w:hAnsi="Calibri" w:cs="Calibri"/>
      <w:color w:val="000000"/>
      <w:sz w:val="22"/>
    </w:rPr>
  </w:style>
  <w:style w:type="table" w:styleId="TableGrid">
    <w:name w:val="Table Grid"/>
    <w:basedOn w:val="TableNormal"/>
    <w:uiPriority w:val="59"/>
    <w:rsid w:val="00151154"/>
    <w:pPr>
      <w:spacing w:after="0" w:line="240" w:lineRule="auto"/>
    </w:pPr>
    <w:rPr>
      <w:rFonts w:eastAsiaTheme="minorHAns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Stockton</dc:creator>
  <cp:keywords/>
  <cp:lastModifiedBy>Great Budworth PC Clerk</cp:lastModifiedBy>
  <cp:revision>6</cp:revision>
  <dcterms:created xsi:type="dcterms:W3CDTF">2024-04-18T13:39:00Z</dcterms:created>
  <dcterms:modified xsi:type="dcterms:W3CDTF">2024-05-23T10:00:00Z</dcterms:modified>
</cp:coreProperties>
</file>