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AED3" w14:textId="5F50E745" w:rsidR="00E828B4" w:rsidRPr="00E828B4" w:rsidRDefault="00E828B4" w:rsidP="008B71DD">
      <w:pPr>
        <w:jc w:val="center"/>
        <w:rPr>
          <w:rFonts w:ascii="Arial" w:hAnsi="Arial" w:cs="Arial"/>
          <w:szCs w:val="22"/>
        </w:rPr>
      </w:pPr>
      <w:r w:rsidRPr="00E828B4">
        <w:rPr>
          <w:rFonts w:ascii="Arial" w:hAnsi="Arial" w:cs="Arial"/>
          <w:szCs w:val="22"/>
        </w:rPr>
        <w:t>Great Budworth Parish Council</w:t>
      </w:r>
    </w:p>
    <w:p w14:paraId="724F90E3" w14:textId="51985D2B" w:rsidR="00E828B4" w:rsidRPr="00E828B4" w:rsidRDefault="00E828B4" w:rsidP="008B71DD">
      <w:pPr>
        <w:jc w:val="center"/>
        <w:rPr>
          <w:rFonts w:ascii="Arial" w:hAnsi="Arial" w:cs="Arial"/>
          <w:b/>
          <w:bCs/>
          <w:szCs w:val="22"/>
        </w:rPr>
      </w:pPr>
      <w:r w:rsidRPr="00E828B4">
        <w:rPr>
          <w:rFonts w:ascii="Arial" w:hAnsi="Arial" w:cs="Arial"/>
          <w:b/>
          <w:bCs/>
          <w:szCs w:val="22"/>
        </w:rPr>
        <w:t>Investment Policy</w:t>
      </w:r>
    </w:p>
    <w:p w14:paraId="3D28FA6E" w14:textId="77777777" w:rsidR="00E828B4" w:rsidRPr="00E828B4" w:rsidRDefault="00E828B4" w:rsidP="00E828B4">
      <w:pPr>
        <w:rPr>
          <w:rFonts w:ascii="Arial" w:hAnsi="Arial" w:cs="Arial"/>
          <w:b/>
          <w:bCs/>
          <w:szCs w:val="22"/>
        </w:rPr>
      </w:pPr>
    </w:p>
    <w:p w14:paraId="6A12233B" w14:textId="77777777" w:rsidR="00E828B4" w:rsidRPr="00913166" w:rsidRDefault="00E828B4" w:rsidP="00451E8E">
      <w:pPr>
        <w:spacing w:after="0"/>
        <w:rPr>
          <w:rFonts w:ascii="Arial" w:hAnsi="Arial" w:cs="Arial"/>
          <w:bCs/>
          <w:szCs w:val="22"/>
          <w:shd w:val="clear" w:color="auto" w:fill="FFFF00"/>
        </w:rPr>
      </w:pPr>
      <w:r w:rsidRPr="00913166">
        <w:rPr>
          <w:rFonts w:ascii="Arial" w:hAnsi="Arial" w:cs="Arial"/>
          <w:bCs/>
          <w:szCs w:val="22"/>
        </w:rPr>
        <w:t>Adopted: 07/05/2024</w:t>
      </w:r>
    </w:p>
    <w:p w14:paraId="54DE7A5E" w14:textId="77777777" w:rsidR="00E828B4" w:rsidRPr="00913166" w:rsidRDefault="00E828B4" w:rsidP="00451E8E">
      <w:pPr>
        <w:spacing w:after="0"/>
        <w:rPr>
          <w:rFonts w:ascii="Arial" w:hAnsi="Arial" w:cs="Arial"/>
          <w:bCs/>
          <w:szCs w:val="22"/>
          <w:shd w:val="clear" w:color="auto" w:fill="FFFF00"/>
        </w:rPr>
      </w:pPr>
      <w:r w:rsidRPr="00913166">
        <w:rPr>
          <w:rFonts w:ascii="Arial" w:hAnsi="Arial" w:cs="Arial"/>
          <w:bCs/>
          <w:szCs w:val="22"/>
        </w:rPr>
        <w:t xml:space="preserve">Reviewed: </w:t>
      </w:r>
    </w:p>
    <w:p w14:paraId="760947E7" w14:textId="77777777" w:rsidR="00E828B4" w:rsidRPr="00E828B4" w:rsidRDefault="00E828B4" w:rsidP="00451E8E">
      <w:pPr>
        <w:spacing w:after="0"/>
        <w:rPr>
          <w:rFonts w:ascii="Arial" w:hAnsi="Arial" w:cs="Arial"/>
          <w:szCs w:val="22"/>
        </w:rPr>
      </w:pPr>
      <w:r w:rsidRPr="00913166">
        <w:rPr>
          <w:rFonts w:ascii="Arial" w:hAnsi="Arial" w:cs="Arial"/>
          <w:bCs/>
          <w:szCs w:val="22"/>
        </w:rPr>
        <w:t>Next Review: March 2025</w:t>
      </w:r>
    </w:p>
    <w:p w14:paraId="5350826B" w14:textId="77777777" w:rsidR="00E828B4" w:rsidRPr="00E828B4" w:rsidRDefault="00E828B4" w:rsidP="00E828B4">
      <w:pPr>
        <w:rPr>
          <w:rFonts w:ascii="Arial" w:hAnsi="Arial" w:cs="Arial"/>
          <w:b/>
          <w:bCs/>
          <w:szCs w:val="22"/>
        </w:rPr>
      </w:pPr>
    </w:p>
    <w:p w14:paraId="48BFAB41" w14:textId="613F1514" w:rsidR="00E828B4" w:rsidRPr="00E828B4" w:rsidRDefault="00E828B4" w:rsidP="00E828B4">
      <w:pPr>
        <w:rPr>
          <w:rFonts w:ascii="Arial" w:hAnsi="Arial" w:cs="Arial"/>
          <w:b/>
          <w:szCs w:val="22"/>
          <w:vertAlign w:val="subscript"/>
        </w:rPr>
      </w:pPr>
      <w:r w:rsidRPr="00E828B4">
        <w:rPr>
          <w:rFonts w:ascii="Arial" w:hAnsi="Arial" w:cs="Arial"/>
          <w:szCs w:val="22"/>
        </w:rPr>
        <w:t xml:space="preserve">This policy is supplemental to, and does not in any way override, the Parish Council </w:t>
      </w:r>
      <w:r w:rsidR="00091B94">
        <w:rPr>
          <w:rFonts w:ascii="Arial" w:hAnsi="Arial" w:cs="Arial"/>
          <w:szCs w:val="22"/>
        </w:rPr>
        <w:t>S</w:t>
      </w:r>
      <w:r w:rsidRPr="00E828B4">
        <w:rPr>
          <w:rFonts w:ascii="Arial" w:hAnsi="Arial" w:cs="Arial"/>
          <w:szCs w:val="22"/>
        </w:rPr>
        <w:t>tanding Orders and/or Financial Regulations</w:t>
      </w:r>
    </w:p>
    <w:p w14:paraId="5E62C82F" w14:textId="399A142C" w:rsidR="00CD60F6" w:rsidRPr="00E828B4" w:rsidRDefault="00B40A18" w:rsidP="00E828B4">
      <w:pPr>
        <w:spacing w:after="0" w:line="240" w:lineRule="auto"/>
        <w:ind w:left="11" w:hanging="11"/>
        <w:rPr>
          <w:rFonts w:ascii="Arial" w:hAnsi="Arial" w:cs="Arial"/>
          <w:b/>
          <w:bCs/>
          <w:szCs w:val="22"/>
        </w:rPr>
      </w:pPr>
      <w:r w:rsidRPr="00E828B4">
        <w:rPr>
          <w:rFonts w:ascii="Arial" w:hAnsi="Arial" w:cs="Arial"/>
          <w:b/>
          <w:bCs/>
          <w:szCs w:val="22"/>
        </w:rPr>
        <w:t xml:space="preserve">Introduction </w:t>
      </w:r>
    </w:p>
    <w:p w14:paraId="0EA6A7F7" w14:textId="77777777" w:rsidR="00CD60F6" w:rsidRPr="00E828B4" w:rsidRDefault="00B40A18" w:rsidP="00E828B4">
      <w:pPr>
        <w:spacing w:after="0" w:line="240" w:lineRule="auto"/>
        <w:ind w:left="11" w:hanging="11"/>
        <w:rPr>
          <w:rFonts w:ascii="Arial" w:hAnsi="Arial" w:cs="Arial"/>
          <w:szCs w:val="22"/>
        </w:rPr>
      </w:pPr>
      <w:r w:rsidRPr="00E828B4">
        <w:rPr>
          <w:rFonts w:ascii="Arial" w:hAnsi="Arial" w:cs="Arial"/>
          <w:b/>
          <w:szCs w:val="22"/>
        </w:rPr>
        <w:t xml:space="preserve"> </w:t>
      </w:r>
    </w:p>
    <w:p w14:paraId="2A866FFF" w14:textId="549086E0" w:rsidR="00CD60F6" w:rsidRPr="00E828B4" w:rsidRDefault="00E828B4" w:rsidP="00E828B4">
      <w:pPr>
        <w:spacing w:after="0" w:line="240" w:lineRule="auto"/>
        <w:ind w:left="11" w:hanging="11"/>
        <w:rPr>
          <w:rFonts w:ascii="Arial" w:hAnsi="Arial" w:cs="Arial"/>
          <w:szCs w:val="22"/>
        </w:rPr>
      </w:pPr>
      <w:r>
        <w:rPr>
          <w:rFonts w:ascii="Arial" w:hAnsi="Arial" w:cs="Arial"/>
          <w:szCs w:val="22"/>
        </w:rPr>
        <w:t>Great Budworth</w:t>
      </w:r>
      <w:r w:rsidRPr="00E828B4">
        <w:rPr>
          <w:rFonts w:ascii="Arial" w:hAnsi="Arial" w:cs="Arial"/>
          <w:szCs w:val="22"/>
        </w:rPr>
        <w:t xml:space="preserve"> Parish Council acknowledges its responsibility to the community and the importance of prudent investment of any reserves held by the council. </w:t>
      </w:r>
    </w:p>
    <w:p w14:paraId="02834522" w14:textId="6D84BDCA"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This policy describes how </w:t>
      </w:r>
      <w:r w:rsidR="00E828B4">
        <w:rPr>
          <w:rFonts w:ascii="Arial" w:hAnsi="Arial" w:cs="Arial"/>
          <w:szCs w:val="22"/>
        </w:rPr>
        <w:t>Great Budworth</w:t>
      </w:r>
      <w:r w:rsidRPr="00E828B4">
        <w:rPr>
          <w:rFonts w:ascii="Arial" w:hAnsi="Arial" w:cs="Arial"/>
          <w:szCs w:val="22"/>
        </w:rPr>
        <w:t xml:space="preserve"> Parish Council will invest any monies unallocated to specific capital and revenue expenditure. </w:t>
      </w:r>
      <w:r w:rsidRPr="00E828B4">
        <w:rPr>
          <w:rFonts w:ascii="Arial" w:hAnsi="Arial" w:cs="Arial"/>
          <w:szCs w:val="22"/>
        </w:rPr>
        <w:tab/>
        <w:t xml:space="preserve"> </w:t>
      </w:r>
    </w:p>
    <w:p w14:paraId="641D3635" w14:textId="77777777" w:rsidR="00E828B4" w:rsidRPr="00E828B4" w:rsidRDefault="00E828B4" w:rsidP="00E828B4">
      <w:pPr>
        <w:spacing w:after="0" w:line="240" w:lineRule="auto"/>
        <w:ind w:left="11" w:hanging="11"/>
        <w:rPr>
          <w:rFonts w:ascii="Arial" w:hAnsi="Arial" w:cs="Arial"/>
          <w:szCs w:val="22"/>
        </w:rPr>
      </w:pPr>
    </w:p>
    <w:p w14:paraId="00FFE560" w14:textId="77777777" w:rsidR="00CD60F6" w:rsidRDefault="00B40A18" w:rsidP="00E828B4">
      <w:pPr>
        <w:spacing w:after="0" w:line="240" w:lineRule="auto"/>
        <w:ind w:left="11" w:hanging="11"/>
        <w:rPr>
          <w:rFonts w:ascii="Arial" w:hAnsi="Arial" w:cs="Arial"/>
          <w:b/>
          <w:bCs/>
          <w:szCs w:val="22"/>
        </w:rPr>
      </w:pPr>
      <w:r w:rsidRPr="00E828B4">
        <w:rPr>
          <w:rFonts w:ascii="Arial" w:hAnsi="Arial" w:cs="Arial"/>
          <w:b/>
          <w:bCs/>
          <w:szCs w:val="22"/>
        </w:rPr>
        <w:t xml:space="preserve">Scope </w:t>
      </w:r>
    </w:p>
    <w:p w14:paraId="7C0AC008" w14:textId="77777777" w:rsidR="00E828B4" w:rsidRPr="00E828B4" w:rsidRDefault="00E828B4" w:rsidP="00E828B4">
      <w:pPr>
        <w:spacing w:after="0" w:line="240" w:lineRule="auto"/>
        <w:ind w:left="11" w:hanging="11"/>
        <w:rPr>
          <w:rFonts w:ascii="Arial" w:hAnsi="Arial" w:cs="Arial"/>
          <w:b/>
          <w:bCs/>
          <w:szCs w:val="22"/>
        </w:rPr>
      </w:pPr>
    </w:p>
    <w:p w14:paraId="740F33F2" w14:textId="16B40AF8"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The policy relates to monies held by </w:t>
      </w:r>
      <w:r w:rsidR="00E828B4">
        <w:rPr>
          <w:rFonts w:ascii="Arial" w:hAnsi="Arial" w:cs="Arial"/>
          <w:szCs w:val="22"/>
        </w:rPr>
        <w:t>Great Budworth</w:t>
      </w:r>
      <w:r w:rsidR="00E828B4" w:rsidRPr="00E828B4">
        <w:rPr>
          <w:rFonts w:ascii="Arial" w:hAnsi="Arial" w:cs="Arial"/>
          <w:szCs w:val="22"/>
        </w:rPr>
        <w:t xml:space="preserve"> </w:t>
      </w:r>
      <w:r w:rsidRPr="00E828B4">
        <w:rPr>
          <w:rFonts w:ascii="Arial" w:hAnsi="Arial" w:cs="Arial"/>
          <w:szCs w:val="22"/>
        </w:rPr>
        <w:t xml:space="preserve">Parish Council in its bank accounts. </w:t>
      </w:r>
    </w:p>
    <w:p w14:paraId="0648B1DD" w14:textId="77777777"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The Parish Council does not currently invest any monies in stocks and shares, property or in any other investment scheme. </w:t>
      </w:r>
    </w:p>
    <w:p w14:paraId="2DDC21C2" w14:textId="77777777"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 xml:space="preserve"> </w:t>
      </w:r>
    </w:p>
    <w:p w14:paraId="7107EB56" w14:textId="5E882D51" w:rsidR="00CD60F6" w:rsidRPr="00E828B4" w:rsidRDefault="00B40A18" w:rsidP="00E828B4">
      <w:pPr>
        <w:spacing w:after="0" w:line="240" w:lineRule="auto"/>
        <w:ind w:left="11" w:hanging="11"/>
        <w:rPr>
          <w:rFonts w:ascii="Arial" w:hAnsi="Arial" w:cs="Arial"/>
          <w:b/>
          <w:bCs/>
          <w:szCs w:val="22"/>
        </w:rPr>
      </w:pPr>
      <w:r w:rsidRPr="00E828B4">
        <w:rPr>
          <w:rFonts w:ascii="Arial" w:hAnsi="Arial" w:cs="Arial"/>
          <w:b/>
          <w:bCs/>
          <w:szCs w:val="22"/>
        </w:rPr>
        <w:t xml:space="preserve">The Legal Framework </w:t>
      </w:r>
    </w:p>
    <w:p w14:paraId="57DC369B" w14:textId="77777777" w:rsidR="00CD60F6" w:rsidRPr="00E828B4" w:rsidRDefault="00B40A18" w:rsidP="00E828B4">
      <w:pPr>
        <w:spacing w:after="0" w:line="240" w:lineRule="auto"/>
        <w:ind w:left="11" w:hanging="11"/>
        <w:rPr>
          <w:rFonts w:ascii="Arial" w:hAnsi="Arial" w:cs="Arial"/>
          <w:szCs w:val="22"/>
        </w:rPr>
      </w:pPr>
      <w:r w:rsidRPr="00E828B4">
        <w:rPr>
          <w:rFonts w:ascii="Arial" w:hAnsi="Arial" w:cs="Arial"/>
          <w:b/>
          <w:szCs w:val="22"/>
        </w:rPr>
        <w:t xml:space="preserve"> </w:t>
      </w:r>
    </w:p>
    <w:p w14:paraId="2C6E6787" w14:textId="136BAFD0"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The Local Government Act 2003 s. 15 (1) (a) and its accompanying Statutory Guidance on Local Government Investments (3</w:t>
      </w:r>
      <w:r w:rsidRPr="00E828B4">
        <w:rPr>
          <w:rFonts w:ascii="Arial" w:hAnsi="Arial" w:cs="Arial"/>
          <w:szCs w:val="22"/>
          <w:vertAlign w:val="superscript"/>
        </w:rPr>
        <w:t>rd</w:t>
      </w:r>
      <w:r w:rsidRPr="00E828B4">
        <w:rPr>
          <w:rFonts w:ascii="Arial" w:hAnsi="Arial" w:cs="Arial"/>
          <w:szCs w:val="22"/>
        </w:rPr>
        <w:t xml:space="preserve"> edition)</w:t>
      </w:r>
      <w:r w:rsidR="00284D52">
        <w:rPr>
          <w:rFonts w:ascii="Arial" w:hAnsi="Arial" w:cs="Arial"/>
          <w:szCs w:val="22"/>
        </w:rPr>
        <w:t>.</w:t>
      </w:r>
    </w:p>
    <w:p w14:paraId="228681AF" w14:textId="31872133"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The best practice found in the Joint Panel on Accountability and Governance (JPAG) Practitioners Guide. </w:t>
      </w:r>
    </w:p>
    <w:p w14:paraId="565B461B" w14:textId="77777777" w:rsidR="00E828B4" w:rsidRDefault="00E828B4" w:rsidP="00E828B4">
      <w:pPr>
        <w:spacing w:after="0" w:line="240" w:lineRule="auto"/>
        <w:ind w:left="11" w:hanging="11"/>
        <w:rPr>
          <w:rFonts w:ascii="Arial" w:hAnsi="Arial" w:cs="Arial"/>
          <w:b/>
          <w:bCs/>
          <w:szCs w:val="22"/>
        </w:rPr>
      </w:pPr>
    </w:p>
    <w:p w14:paraId="1D29CFAC" w14:textId="388EB8FB" w:rsidR="00CD60F6" w:rsidRDefault="00B40A18" w:rsidP="00E828B4">
      <w:pPr>
        <w:spacing w:after="0" w:line="240" w:lineRule="auto"/>
        <w:ind w:left="11" w:hanging="11"/>
        <w:rPr>
          <w:rFonts w:ascii="Arial" w:hAnsi="Arial" w:cs="Arial"/>
          <w:b/>
          <w:bCs/>
          <w:szCs w:val="22"/>
        </w:rPr>
      </w:pPr>
      <w:r w:rsidRPr="00E828B4">
        <w:rPr>
          <w:rFonts w:ascii="Arial" w:hAnsi="Arial" w:cs="Arial"/>
          <w:b/>
          <w:bCs/>
          <w:szCs w:val="22"/>
        </w:rPr>
        <w:t xml:space="preserve">Dissemination and training </w:t>
      </w:r>
    </w:p>
    <w:p w14:paraId="7A16DBD9" w14:textId="77777777" w:rsidR="00E828B4" w:rsidRPr="00E828B4" w:rsidRDefault="00E828B4" w:rsidP="00E828B4">
      <w:pPr>
        <w:spacing w:after="0" w:line="240" w:lineRule="auto"/>
        <w:ind w:left="11" w:hanging="11"/>
        <w:rPr>
          <w:rFonts w:ascii="Arial" w:hAnsi="Arial" w:cs="Arial"/>
          <w:b/>
          <w:bCs/>
          <w:szCs w:val="22"/>
        </w:rPr>
      </w:pPr>
    </w:p>
    <w:p w14:paraId="6810BCB1" w14:textId="45097333"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This policy is available to councillors, staff and members of the public through publication on the Parish Council’s website. </w:t>
      </w:r>
    </w:p>
    <w:p w14:paraId="5D9BCD98" w14:textId="77777777" w:rsidR="00E828B4" w:rsidRPr="00E828B4" w:rsidRDefault="00E828B4" w:rsidP="00E828B4">
      <w:pPr>
        <w:spacing w:after="0" w:line="240" w:lineRule="auto"/>
        <w:ind w:left="11" w:hanging="11"/>
        <w:rPr>
          <w:rFonts w:ascii="Arial" w:hAnsi="Arial" w:cs="Arial"/>
          <w:szCs w:val="22"/>
        </w:rPr>
      </w:pPr>
    </w:p>
    <w:p w14:paraId="6523CFE1" w14:textId="77777777" w:rsidR="00CD60F6" w:rsidRDefault="00B40A18" w:rsidP="00E828B4">
      <w:pPr>
        <w:spacing w:after="0" w:line="240" w:lineRule="auto"/>
        <w:ind w:left="11" w:hanging="11"/>
        <w:rPr>
          <w:rFonts w:ascii="Arial" w:hAnsi="Arial" w:cs="Arial"/>
          <w:b/>
          <w:szCs w:val="22"/>
        </w:rPr>
      </w:pPr>
      <w:r w:rsidRPr="00E828B4">
        <w:rPr>
          <w:rFonts w:ascii="Arial" w:hAnsi="Arial" w:cs="Arial"/>
          <w:b/>
          <w:szCs w:val="22"/>
        </w:rPr>
        <w:t xml:space="preserve">Monitoring and review </w:t>
      </w:r>
    </w:p>
    <w:p w14:paraId="5C8933EE" w14:textId="77777777" w:rsidR="00E828B4" w:rsidRPr="00E828B4" w:rsidRDefault="00E828B4" w:rsidP="00E828B4">
      <w:pPr>
        <w:spacing w:after="0" w:line="240" w:lineRule="auto"/>
        <w:ind w:left="11" w:hanging="11"/>
        <w:rPr>
          <w:rFonts w:ascii="Arial" w:hAnsi="Arial" w:cs="Arial"/>
          <w:szCs w:val="22"/>
        </w:rPr>
      </w:pPr>
    </w:p>
    <w:p w14:paraId="29EAD510" w14:textId="5C23DE36" w:rsidR="00CD60F6" w:rsidRDefault="00B40A18" w:rsidP="00E828B4">
      <w:pPr>
        <w:spacing w:after="0" w:line="240" w:lineRule="auto"/>
        <w:ind w:left="11" w:hanging="11"/>
        <w:rPr>
          <w:rFonts w:ascii="Arial" w:hAnsi="Arial" w:cs="Arial"/>
          <w:szCs w:val="22"/>
        </w:rPr>
      </w:pPr>
      <w:r w:rsidRPr="00E828B4">
        <w:rPr>
          <w:rFonts w:ascii="Arial" w:hAnsi="Arial" w:cs="Arial"/>
          <w:szCs w:val="22"/>
        </w:rPr>
        <w:t>This policy will be reviewed</w:t>
      </w:r>
      <w:r w:rsidR="00E828B4">
        <w:rPr>
          <w:rFonts w:ascii="Arial" w:hAnsi="Arial" w:cs="Arial"/>
          <w:szCs w:val="22"/>
        </w:rPr>
        <w:t xml:space="preserve"> </w:t>
      </w:r>
      <w:r w:rsidRPr="00E828B4">
        <w:rPr>
          <w:rFonts w:ascii="Arial" w:hAnsi="Arial" w:cs="Arial"/>
          <w:szCs w:val="22"/>
        </w:rPr>
        <w:t xml:space="preserve">annually and whenever there is a change in legislation. </w:t>
      </w:r>
    </w:p>
    <w:p w14:paraId="2122AE39" w14:textId="77777777" w:rsidR="00E828B4" w:rsidRPr="00E828B4" w:rsidRDefault="00E828B4" w:rsidP="00E828B4">
      <w:pPr>
        <w:spacing w:after="0" w:line="240" w:lineRule="auto"/>
        <w:ind w:left="11" w:hanging="11"/>
        <w:rPr>
          <w:rFonts w:ascii="Arial" w:hAnsi="Arial" w:cs="Arial"/>
          <w:szCs w:val="22"/>
        </w:rPr>
      </w:pPr>
    </w:p>
    <w:p w14:paraId="30FC96FD" w14:textId="3624580E" w:rsidR="00CD60F6" w:rsidRDefault="00B40A18" w:rsidP="00E828B4">
      <w:pPr>
        <w:spacing w:after="0" w:line="240" w:lineRule="auto"/>
        <w:ind w:left="11" w:hanging="11"/>
        <w:rPr>
          <w:rFonts w:ascii="Arial" w:hAnsi="Arial" w:cs="Arial"/>
          <w:b/>
          <w:bCs/>
          <w:szCs w:val="22"/>
        </w:rPr>
      </w:pPr>
      <w:r w:rsidRPr="00E828B4">
        <w:rPr>
          <w:rFonts w:ascii="Arial" w:hAnsi="Arial" w:cs="Arial"/>
          <w:b/>
          <w:bCs/>
          <w:szCs w:val="22"/>
        </w:rPr>
        <w:t xml:space="preserve">General Statement of Policy </w:t>
      </w:r>
    </w:p>
    <w:p w14:paraId="26985CF2" w14:textId="77777777" w:rsidR="00E828B4" w:rsidRPr="00E828B4" w:rsidRDefault="00E828B4" w:rsidP="00E828B4">
      <w:pPr>
        <w:spacing w:after="0" w:line="240" w:lineRule="auto"/>
        <w:ind w:left="11" w:hanging="11"/>
        <w:rPr>
          <w:rFonts w:ascii="Arial" w:hAnsi="Arial" w:cs="Arial"/>
          <w:b/>
          <w:bCs/>
          <w:szCs w:val="22"/>
        </w:rPr>
      </w:pPr>
    </w:p>
    <w:p w14:paraId="65392905" w14:textId="2FBF721F" w:rsidR="00CD60F6" w:rsidRDefault="00E828B4" w:rsidP="00E828B4">
      <w:pPr>
        <w:spacing w:after="0" w:line="240" w:lineRule="auto"/>
        <w:ind w:left="11" w:hanging="11"/>
        <w:rPr>
          <w:rFonts w:ascii="Arial" w:hAnsi="Arial" w:cs="Arial"/>
          <w:szCs w:val="22"/>
        </w:rPr>
      </w:pPr>
      <w:r>
        <w:rPr>
          <w:rFonts w:ascii="Arial" w:hAnsi="Arial" w:cs="Arial"/>
          <w:szCs w:val="22"/>
        </w:rPr>
        <w:t>Great Budworth</w:t>
      </w:r>
      <w:r w:rsidRPr="00E828B4">
        <w:rPr>
          <w:rFonts w:ascii="Arial" w:hAnsi="Arial" w:cs="Arial"/>
          <w:szCs w:val="22"/>
        </w:rPr>
        <w:t xml:space="preserve"> Parish Council will aim to hold an amount of money in a general reserve which represents its cash flow and contingency funds to cover unexpected inflation, unforeseen events and unusual circumstances. The JPAG Practitioners’ Guide (5.33) advises that the level of general reserve be set between three and twelve months Net Revenue Expenditure, with smaller councils holding twelve months and larger councils around three months. </w:t>
      </w:r>
    </w:p>
    <w:p w14:paraId="4F3F2BED" w14:textId="77777777" w:rsidR="00E828B4" w:rsidRPr="00E828B4" w:rsidRDefault="00E828B4" w:rsidP="00E828B4">
      <w:pPr>
        <w:spacing w:after="0" w:line="240" w:lineRule="auto"/>
        <w:ind w:left="11" w:hanging="11"/>
        <w:rPr>
          <w:rFonts w:ascii="Arial" w:hAnsi="Arial" w:cs="Arial"/>
          <w:szCs w:val="22"/>
        </w:rPr>
      </w:pPr>
    </w:p>
    <w:p w14:paraId="5CE79F19" w14:textId="370B9B55"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The Parish Council will also hold Earmarked Reserves which are monies being set aside each year to save for capital projects or for recurring large outlays like council elections. This </w:t>
      </w:r>
      <w:r w:rsidRPr="00E828B4">
        <w:rPr>
          <w:rFonts w:ascii="Arial" w:hAnsi="Arial" w:cs="Arial"/>
          <w:szCs w:val="22"/>
        </w:rPr>
        <w:lastRenderedPageBreak/>
        <w:t xml:space="preserve">practice ensures that the amount taxpayers pay does not fluctuate excessively and is a prudent way to manage expenditure of this nature. </w:t>
      </w:r>
      <w:r w:rsidR="00E828B4">
        <w:rPr>
          <w:rFonts w:ascii="Arial" w:hAnsi="Arial" w:cs="Arial"/>
          <w:szCs w:val="22"/>
        </w:rPr>
        <w:t>See Reserve Policy for full details.</w:t>
      </w:r>
    </w:p>
    <w:p w14:paraId="18A94338" w14:textId="77777777" w:rsidR="00E828B4" w:rsidRPr="00E828B4" w:rsidRDefault="00E828B4" w:rsidP="00E828B4">
      <w:pPr>
        <w:spacing w:after="0" w:line="240" w:lineRule="auto"/>
        <w:ind w:left="11" w:hanging="11"/>
        <w:rPr>
          <w:rFonts w:ascii="Arial" w:hAnsi="Arial" w:cs="Arial"/>
          <w:szCs w:val="22"/>
        </w:rPr>
      </w:pPr>
    </w:p>
    <w:p w14:paraId="3CCF6CB5" w14:textId="7F62D9E9"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These funds will be managed in such a way that they are firstly secure, secondly available without excessive delay and thirdly provide a modest return via interest paid. </w:t>
      </w:r>
    </w:p>
    <w:p w14:paraId="631AE5C7" w14:textId="77777777" w:rsidR="00E828B4" w:rsidRPr="00E828B4" w:rsidRDefault="00E828B4" w:rsidP="00E828B4">
      <w:pPr>
        <w:spacing w:after="0" w:line="240" w:lineRule="auto"/>
        <w:ind w:left="11" w:hanging="11"/>
        <w:rPr>
          <w:rFonts w:ascii="Arial" w:hAnsi="Arial" w:cs="Arial"/>
          <w:szCs w:val="22"/>
        </w:rPr>
      </w:pPr>
    </w:p>
    <w:p w14:paraId="7C8A216F" w14:textId="5572A25D"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To provide security of funds, the </w:t>
      </w:r>
      <w:r w:rsidR="00E828B4">
        <w:rPr>
          <w:rFonts w:ascii="Arial" w:hAnsi="Arial" w:cs="Arial"/>
          <w:szCs w:val="22"/>
        </w:rPr>
        <w:t>p</w:t>
      </w:r>
      <w:r w:rsidRPr="00E828B4">
        <w:rPr>
          <w:rFonts w:ascii="Arial" w:hAnsi="Arial" w:cs="Arial"/>
          <w:szCs w:val="22"/>
        </w:rPr>
        <w:t xml:space="preserve">arish </w:t>
      </w:r>
      <w:r w:rsidR="00E828B4">
        <w:rPr>
          <w:rFonts w:ascii="Arial" w:hAnsi="Arial" w:cs="Arial"/>
          <w:szCs w:val="22"/>
        </w:rPr>
        <w:t>c</w:t>
      </w:r>
      <w:r w:rsidRPr="00E828B4">
        <w:rPr>
          <w:rFonts w:ascii="Arial" w:hAnsi="Arial" w:cs="Arial"/>
          <w:szCs w:val="22"/>
        </w:rPr>
        <w:t xml:space="preserve">ouncil will deposit with a recognised bank sums up to £85,000 to benefit from the Financial Services Compensation Scheme (FSCA). </w:t>
      </w:r>
    </w:p>
    <w:p w14:paraId="5A035C93" w14:textId="77777777" w:rsidR="00E828B4" w:rsidRPr="00E828B4" w:rsidRDefault="00E828B4" w:rsidP="00E828B4">
      <w:pPr>
        <w:spacing w:after="0" w:line="240" w:lineRule="auto"/>
        <w:ind w:left="11" w:hanging="11"/>
        <w:rPr>
          <w:rFonts w:ascii="Arial" w:hAnsi="Arial" w:cs="Arial"/>
          <w:szCs w:val="22"/>
        </w:rPr>
      </w:pPr>
    </w:p>
    <w:p w14:paraId="5A319CAE" w14:textId="78AD4857"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To provide quick access to funds, the </w:t>
      </w:r>
      <w:r w:rsidR="00E828B4">
        <w:rPr>
          <w:rFonts w:ascii="Arial" w:hAnsi="Arial" w:cs="Arial"/>
          <w:szCs w:val="22"/>
        </w:rPr>
        <w:t>p</w:t>
      </w:r>
      <w:r w:rsidRPr="00E828B4">
        <w:rPr>
          <w:rFonts w:ascii="Arial" w:hAnsi="Arial" w:cs="Arial"/>
          <w:szCs w:val="22"/>
        </w:rPr>
        <w:t xml:space="preserve">arish </w:t>
      </w:r>
      <w:r w:rsidR="00E828B4">
        <w:rPr>
          <w:rFonts w:ascii="Arial" w:hAnsi="Arial" w:cs="Arial"/>
          <w:szCs w:val="22"/>
        </w:rPr>
        <w:t>c</w:t>
      </w:r>
      <w:r w:rsidRPr="00E828B4">
        <w:rPr>
          <w:rFonts w:ascii="Arial" w:hAnsi="Arial" w:cs="Arial"/>
          <w:szCs w:val="22"/>
        </w:rPr>
        <w:t xml:space="preserve">ouncil will deposit monies in accounts which do not have more than a thirty-day notice period of withdrawal. </w:t>
      </w:r>
    </w:p>
    <w:p w14:paraId="741B02A0" w14:textId="77777777" w:rsidR="00E828B4" w:rsidRPr="00E828B4" w:rsidRDefault="00E828B4" w:rsidP="00E828B4">
      <w:pPr>
        <w:spacing w:after="0" w:line="240" w:lineRule="auto"/>
        <w:ind w:left="11" w:hanging="11"/>
        <w:rPr>
          <w:rFonts w:ascii="Arial" w:hAnsi="Arial" w:cs="Arial"/>
          <w:szCs w:val="22"/>
        </w:rPr>
      </w:pPr>
    </w:p>
    <w:p w14:paraId="3C5494B4" w14:textId="76FCC26C" w:rsidR="00CD60F6" w:rsidRDefault="00B40A18" w:rsidP="00E828B4">
      <w:pPr>
        <w:spacing w:after="0" w:line="240" w:lineRule="auto"/>
        <w:ind w:left="11" w:hanging="11"/>
        <w:rPr>
          <w:rFonts w:ascii="Arial" w:hAnsi="Arial" w:cs="Arial"/>
          <w:szCs w:val="22"/>
        </w:rPr>
      </w:pPr>
      <w:r w:rsidRPr="00E828B4">
        <w:rPr>
          <w:rFonts w:ascii="Arial" w:hAnsi="Arial" w:cs="Arial"/>
          <w:szCs w:val="22"/>
        </w:rPr>
        <w:t xml:space="preserve">To provide a yield on monies deposited the </w:t>
      </w:r>
      <w:r w:rsidR="00E828B4">
        <w:rPr>
          <w:rFonts w:ascii="Arial" w:hAnsi="Arial" w:cs="Arial"/>
          <w:szCs w:val="22"/>
        </w:rPr>
        <w:t>p</w:t>
      </w:r>
      <w:r w:rsidRPr="00E828B4">
        <w:rPr>
          <w:rFonts w:ascii="Arial" w:hAnsi="Arial" w:cs="Arial"/>
          <w:szCs w:val="22"/>
        </w:rPr>
        <w:t xml:space="preserve">arish </w:t>
      </w:r>
      <w:r w:rsidR="00E828B4">
        <w:rPr>
          <w:rFonts w:ascii="Arial" w:hAnsi="Arial" w:cs="Arial"/>
          <w:szCs w:val="22"/>
        </w:rPr>
        <w:t>c</w:t>
      </w:r>
      <w:r w:rsidRPr="00E828B4">
        <w:rPr>
          <w:rFonts w:ascii="Arial" w:hAnsi="Arial" w:cs="Arial"/>
          <w:szCs w:val="22"/>
        </w:rPr>
        <w:t xml:space="preserve">ouncil will seek to deposit monies in the best interest-bearing accounts that provide security and the relevant withdrawal period. </w:t>
      </w:r>
    </w:p>
    <w:p w14:paraId="0C3EAD19" w14:textId="77777777" w:rsidR="00E828B4" w:rsidRPr="00E828B4" w:rsidRDefault="00E828B4" w:rsidP="00E828B4">
      <w:pPr>
        <w:spacing w:after="0" w:line="240" w:lineRule="auto"/>
        <w:ind w:left="11" w:hanging="11"/>
        <w:rPr>
          <w:rFonts w:ascii="Arial" w:hAnsi="Arial" w:cs="Arial"/>
          <w:szCs w:val="22"/>
        </w:rPr>
      </w:pPr>
    </w:p>
    <w:p w14:paraId="13D9A0E6" w14:textId="21737978" w:rsidR="00CD60F6" w:rsidRPr="00E828B4" w:rsidRDefault="00B40A18" w:rsidP="00E828B4">
      <w:pPr>
        <w:spacing w:after="0" w:line="240" w:lineRule="auto"/>
        <w:ind w:left="11" w:hanging="11"/>
        <w:rPr>
          <w:rFonts w:ascii="Arial" w:hAnsi="Arial" w:cs="Arial"/>
          <w:szCs w:val="22"/>
        </w:rPr>
      </w:pPr>
      <w:r w:rsidRPr="00E828B4">
        <w:rPr>
          <w:rFonts w:ascii="Arial" w:hAnsi="Arial" w:cs="Arial"/>
          <w:szCs w:val="22"/>
        </w:rPr>
        <w:t xml:space="preserve">Any other investments will be considered using expert financial advice and no investment shall be made without the approval of the full council. </w:t>
      </w:r>
    </w:p>
    <w:p w14:paraId="1EFE536D" w14:textId="77777777" w:rsidR="00CD60F6" w:rsidRPr="00E828B4" w:rsidRDefault="00B40A18" w:rsidP="00E828B4">
      <w:pPr>
        <w:rPr>
          <w:rFonts w:ascii="Arial" w:hAnsi="Arial" w:cs="Arial"/>
          <w:szCs w:val="22"/>
        </w:rPr>
      </w:pPr>
      <w:r w:rsidRPr="00E828B4">
        <w:rPr>
          <w:rFonts w:ascii="Arial" w:hAnsi="Arial" w:cs="Arial"/>
          <w:b/>
          <w:szCs w:val="22"/>
        </w:rPr>
        <w:t xml:space="preserve"> </w:t>
      </w:r>
    </w:p>
    <w:p w14:paraId="1DD33519" w14:textId="4F47253F" w:rsidR="00CD60F6" w:rsidRDefault="00CD60F6" w:rsidP="00E828B4">
      <w:pPr>
        <w:rPr>
          <w:rFonts w:ascii="Arial" w:hAnsi="Arial" w:cs="Arial"/>
          <w:b/>
          <w:szCs w:val="22"/>
        </w:rPr>
      </w:pPr>
    </w:p>
    <w:p w14:paraId="02BF91F2" w14:textId="77777777" w:rsidR="00913166" w:rsidRDefault="00913166" w:rsidP="00913166">
      <w:pPr>
        <w:spacing w:after="0" w:line="240" w:lineRule="auto"/>
        <w:rPr>
          <w:shd w:val="clear" w:color="auto" w:fill="FFFF00"/>
        </w:rPr>
      </w:pPr>
      <w:r w:rsidRPr="003F5C83">
        <w:t>Log:</w:t>
      </w:r>
    </w:p>
    <w:p w14:paraId="0A4EAD9C" w14:textId="77777777" w:rsidR="00913166" w:rsidRDefault="00913166" w:rsidP="00913166">
      <w:pPr>
        <w:spacing w:after="0" w:line="240" w:lineRule="auto"/>
        <w:rPr>
          <w:shd w:val="clear" w:color="auto" w:fill="FFFF00"/>
        </w:rPr>
      </w:pPr>
    </w:p>
    <w:tbl>
      <w:tblPr>
        <w:tblW w:w="9918" w:type="dxa"/>
        <w:tblCellMar>
          <w:left w:w="10" w:type="dxa"/>
          <w:right w:w="10" w:type="dxa"/>
        </w:tblCellMar>
        <w:tblLook w:val="0000" w:firstRow="0" w:lastRow="0" w:firstColumn="0" w:lastColumn="0" w:noHBand="0" w:noVBand="0"/>
      </w:tblPr>
      <w:tblGrid>
        <w:gridCol w:w="2091"/>
        <w:gridCol w:w="2157"/>
        <w:gridCol w:w="1134"/>
        <w:gridCol w:w="1550"/>
        <w:gridCol w:w="1539"/>
        <w:gridCol w:w="1447"/>
      </w:tblGrid>
      <w:tr w:rsidR="00913166" w14:paraId="37A59917" w14:textId="77777777" w:rsidTr="00EA1B05">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F219"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Points Changed</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AF0"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Changes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36CF"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Date</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C69EF"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Changes</w:t>
            </w:r>
            <w:r>
              <w:rPr>
                <w:rFonts w:ascii="Aptos" w:eastAsia="Aptos" w:hAnsi="Aptos" w:cs="Aptos"/>
                <w:b/>
                <w:bCs/>
                <w:kern w:val="0"/>
                <w:sz w:val="18"/>
                <w:szCs w:val="18"/>
                <w:shd w:val="clear" w:color="auto" w:fill="FFFF00"/>
              </w:rPr>
              <w:t xml:space="preserve"> </w:t>
            </w:r>
            <w:r w:rsidRPr="003F5C83">
              <w:rPr>
                <w:rFonts w:ascii="Aptos" w:eastAsia="Aptos" w:hAnsi="Aptos" w:cs="Aptos"/>
                <w:b/>
                <w:bCs/>
                <w:kern w:val="0"/>
                <w:sz w:val="18"/>
                <w:szCs w:val="18"/>
              </w:rPr>
              <w:t>perfo</w:t>
            </w:r>
            <w:r w:rsidRPr="003F5C83">
              <w:rPr>
                <w:rFonts w:cs="Aptos"/>
                <w:b/>
                <w:bCs/>
                <w:kern w:val="0"/>
                <w:sz w:val="18"/>
                <w:szCs w:val="18"/>
              </w:rPr>
              <w:t>r</w:t>
            </w:r>
            <w:r w:rsidRPr="003F5C83">
              <w:rPr>
                <w:rFonts w:ascii="Aptos" w:eastAsia="Aptos" w:hAnsi="Aptos" w:cs="Aptos"/>
                <w:b/>
                <w:bCs/>
                <w:kern w:val="0"/>
                <w:sz w:val="18"/>
                <w:szCs w:val="18"/>
              </w:rPr>
              <w:t>med by</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BB49"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Agreed at PC</w:t>
            </w:r>
            <w:r>
              <w:rPr>
                <w:rFonts w:ascii="Aptos" w:eastAsia="Aptos" w:hAnsi="Aptos" w:cs="Aptos"/>
                <w:b/>
                <w:bCs/>
                <w:kern w:val="0"/>
                <w:sz w:val="18"/>
                <w:szCs w:val="18"/>
                <w:shd w:val="clear" w:color="auto" w:fill="FFFF00"/>
              </w:rPr>
              <w:t xml:space="preserve"> </w:t>
            </w:r>
            <w:r w:rsidRPr="003F5C83">
              <w:rPr>
                <w:rFonts w:ascii="Aptos" w:eastAsia="Aptos" w:hAnsi="Aptos" w:cs="Aptos"/>
                <w:b/>
                <w:bCs/>
                <w:kern w:val="0"/>
                <w:sz w:val="18"/>
                <w:szCs w:val="18"/>
              </w:rPr>
              <w:t>meeting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A19B" w14:textId="77777777" w:rsidR="00913166" w:rsidRDefault="00913166" w:rsidP="00EA1B05">
            <w:pPr>
              <w:spacing w:after="0" w:line="240" w:lineRule="auto"/>
              <w:rPr>
                <w:rFonts w:cs="Aptos"/>
                <w:b/>
                <w:bCs/>
                <w:kern w:val="0"/>
                <w:sz w:val="18"/>
                <w:szCs w:val="18"/>
                <w:shd w:val="clear" w:color="auto" w:fill="FFFF00"/>
              </w:rPr>
            </w:pPr>
            <w:r w:rsidRPr="003F5C83">
              <w:rPr>
                <w:rFonts w:ascii="Aptos" w:eastAsia="Aptos" w:hAnsi="Aptos" w:cs="Aptos"/>
                <w:b/>
                <w:bCs/>
                <w:kern w:val="0"/>
                <w:sz w:val="18"/>
                <w:szCs w:val="18"/>
              </w:rPr>
              <w:t>Signed</w:t>
            </w:r>
          </w:p>
        </w:tc>
      </w:tr>
      <w:tr w:rsidR="00913166" w14:paraId="2C74E39F" w14:textId="77777777" w:rsidTr="00EA1B05">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E2D7" w14:textId="77777777" w:rsidR="00913166" w:rsidRDefault="00913166" w:rsidP="00EA1B05">
            <w:pPr>
              <w:spacing w:after="0" w:line="240" w:lineRule="auto"/>
              <w:rPr>
                <w:rFonts w:cs="Aptos"/>
                <w:kern w:val="0"/>
                <w:szCs w:val="22"/>
                <w:shd w:val="clear" w:color="auto" w:fill="FFFF00"/>
              </w:rPr>
            </w:pPr>
            <w:r w:rsidRPr="003F5C83">
              <w:rPr>
                <w:rFonts w:ascii="Aptos" w:eastAsia="Aptos" w:hAnsi="Aptos" w:cs="Aptos"/>
                <w:kern w:val="0"/>
                <w:szCs w:val="22"/>
              </w:rPr>
              <w:t>Whole Document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49FD" w14:textId="77777777" w:rsidR="00913166" w:rsidRDefault="00913166" w:rsidP="00EA1B05">
            <w:pPr>
              <w:spacing w:after="0" w:line="240" w:lineRule="auto"/>
              <w:ind w:left="24" w:hanging="9"/>
              <w:rPr>
                <w:rFonts w:cs="Aptos"/>
                <w:kern w:val="0"/>
                <w:szCs w:val="22"/>
                <w:shd w:val="clear" w:color="auto" w:fill="FFFF00"/>
              </w:rPr>
            </w:pPr>
            <w:r w:rsidRPr="003F5C83">
              <w:rPr>
                <w:rFonts w:ascii="Aptos" w:eastAsia="Aptos" w:hAnsi="Aptos" w:cs="Aptos"/>
                <w:kern w:val="0"/>
                <w:szCs w:val="22"/>
              </w:rPr>
              <w:t>Document created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060B9" w14:textId="2E068A3E" w:rsidR="00913166" w:rsidRDefault="00913166" w:rsidP="00EA1B05">
            <w:pPr>
              <w:spacing w:after="0" w:line="240" w:lineRule="auto"/>
              <w:rPr>
                <w:rFonts w:cs="Aptos"/>
                <w:kern w:val="0"/>
                <w:szCs w:val="22"/>
                <w:shd w:val="clear" w:color="auto" w:fill="FFFF00"/>
              </w:rPr>
            </w:pPr>
            <w:r>
              <w:rPr>
                <w:rFonts w:ascii="Aptos" w:eastAsia="Aptos" w:hAnsi="Aptos" w:cs="Aptos"/>
                <w:kern w:val="0"/>
                <w:szCs w:val="22"/>
              </w:rPr>
              <w:t>19</w:t>
            </w:r>
            <w:r w:rsidRPr="003F5C83">
              <w:rPr>
                <w:rFonts w:ascii="Aptos" w:eastAsia="Aptos" w:hAnsi="Aptos" w:cs="Aptos"/>
                <w:kern w:val="0"/>
                <w:szCs w:val="22"/>
              </w:rPr>
              <w:t>/0</w:t>
            </w:r>
            <w:r>
              <w:rPr>
                <w:rFonts w:ascii="Aptos" w:eastAsia="Aptos" w:hAnsi="Aptos" w:cs="Aptos"/>
                <w:kern w:val="0"/>
                <w:szCs w:val="22"/>
              </w:rPr>
              <w:t>4</w:t>
            </w:r>
            <w:r w:rsidRPr="003F5C83">
              <w:rPr>
                <w:rFonts w:ascii="Aptos" w:eastAsia="Aptos" w:hAnsi="Aptos" w:cs="Aptos"/>
                <w:kern w:val="0"/>
                <w:szCs w:val="22"/>
              </w:rPr>
              <w:t>/24</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961D" w14:textId="77777777" w:rsidR="00913166" w:rsidRDefault="00913166" w:rsidP="00EA1B05">
            <w:pPr>
              <w:spacing w:after="0" w:line="240" w:lineRule="auto"/>
            </w:pPr>
            <w:r w:rsidRPr="003F5C83">
              <w:rPr>
                <w:rFonts w:ascii="Aptos" w:eastAsia="Aptos" w:hAnsi="Aptos" w:cs="Aptos"/>
                <w:kern w:val="0"/>
                <w:szCs w:val="22"/>
              </w:rPr>
              <w:t>C Constable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A895" w14:textId="77777777" w:rsidR="00913166" w:rsidRDefault="00913166" w:rsidP="00EA1B05">
            <w:pPr>
              <w:spacing w:after="0" w:line="240" w:lineRule="auto"/>
              <w:rPr>
                <w:rFonts w:cs="Aptos"/>
                <w:kern w:val="0"/>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31FE" w14:textId="77777777" w:rsidR="00913166" w:rsidRDefault="00913166" w:rsidP="00EA1B05">
            <w:pPr>
              <w:spacing w:after="0" w:line="240" w:lineRule="auto"/>
              <w:rPr>
                <w:rFonts w:cs="Aptos"/>
                <w:kern w:val="0"/>
                <w:szCs w:val="22"/>
              </w:rPr>
            </w:pPr>
          </w:p>
        </w:tc>
      </w:tr>
      <w:tr w:rsidR="00913166" w14:paraId="604B3234" w14:textId="77777777" w:rsidTr="00EA1B05">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1877" w14:textId="77777777" w:rsidR="00913166" w:rsidRDefault="00913166" w:rsidP="00EA1B05">
            <w:pPr>
              <w:spacing w:after="0" w:line="240" w:lineRule="auto"/>
              <w:rPr>
                <w:rFonts w:cs="Aptos"/>
                <w:kern w:val="0"/>
                <w:szCs w:val="22"/>
              </w:rPr>
            </w:pPr>
            <w:r>
              <w:rPr>
                <w:rFonts w:ascii="Aptos" w:eastAsia="Aptos" w:hAnsi="Aptos" w:cs="Aptos"/>
                <w:kern w:val="0"/>
                <w:szCs w:val="22"/>
              </w:rPr>
              <w:t>Whole Document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04E91" w14:textId="77777777" w:rsidR="00913166" w:rsidRDefault="00913166" w:rsidP="00EA1B05">
            <w:pPr>
              <w:spacing w:after="0" w:line="240" w:lineRule="auto"/>
              <w:rPr>
                <w:rFonts w:cs="Aptos"/>
                <w:kern w:val="0"/>
                <w:szCs w:val="22"/>
              </w:rPr>
            </w:pPr>
            <w:r>
              <w:rPr>
                <w:rFonts w:ascii="Aptos" w:eastAsia="Aptos" w:hAnsi="Aptos" w:cs="Aptos"/>
                <w:kern w:val="0"/>
                <w:szCs w:val="22"/>
              </w:rPr>
              <w:t>Document adopted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F980" w14:textId="77777777" w:rsidR="00913166" w:rsidRDefault="00913166" w:rsidP="00EA1B05">
            <w:pPr>
              <w:spacing w:after="0" w:line="240" w:lineRule="auto"/>
              <w:rPr>
                <w:rFonts w:cs="Aptos"/>
                <w:kern w:val="0"/>
                <w:szCs w:val="22"/>
              </w:rPr>
            </w:pPr>
            <w:r>
              <w:rPr>
                <w:rFonts w:ascii="Aptos" w:eastAsia="Aptos" w:hAnsi="Aptos" w:cs="Aptos"/>
                <w:kern w:val="0"/>
                <w:szCs w:val="22"/>
              </w:rPr>
              <w:t>07/05/24</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81D5" w14:textId="77777777" w:rsidR="00913166" w:rsidRDefault="00913166" w:rsidP="00EA1B05">
            <w:pPr>
              <w:spacing w:after="0" w:line="240" w:lineRule="auto"/>
              <w:rPr>
                <w:rFonts w:cs="Aptos"/>
                <w:kern w:val="0"/>
                <w:szCs w:val="22"/>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BC85" w14:textId="77777777" w:rsidR="00913166" w:rsidRDefault="00913166" w:rsidP="00EA1B05">
            <w:pPr>
              <w:spacing w:after="0" w:line="240" w:lineRule="auto"/>
              <w:rPr>
                <w:rFonts w:cs="Aptos"/>
                <w:kern w:val="0"/>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02C5" w14:textId="77777777" w:rsidR="00913166" w:rsidRDefault="00913166" w:rsidP="00EA1B05">
            <w:pPr>
              <w:spacing w:after="0" w:line="240" w:lineRule="auto"/>
              <w:rPr>
                <w:rFonts w:cs="Aptos"/>
                <w:kern w:val="0"/>
                <w:szCs w:val="22"/>
              </w:rPr>
            </w:pPr>
          </w:p>
        </w:tc>
      </w:tr>
      <w:tr w:rsidR="00913166" w14:paraId="47C7AABA" w14:textId="77777777" w:rsidTr="00EA1B05">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F1A6" w14:textId="77777777" w:rsidR="00913166" w:rsidRDefault="00913166" w:rsidP="00EA1B05">
            <w:pPr>
              <w:spacing w:after="0" w:line="240" w:lineRule="auto"/>
              <w:rPr>
                <w:rFonts w:cs="Aptos"/>
                <w:kern w:val="0"/>
                <w:szCs w:val="22"/>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3156" w14:textId="77777777" w:rsidR="00913166" w:rsidRDefault="00913166" w:rsidP="00EA1B05">
            <w:pPr>
              <w:spacing w:after="0" w:line="240" w:lineRule="auto"/>
              <w:rPr>
                <w:rFonts w:cs="Aptos"/>
                <w:kern w:val="0"/>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ADBE" w14:textId="77777777" w:rsidR="00913166" w:rsidRDefault="00913166" w:rsidP="00EA1B05">
            <w:pPr>
              <w:spacing w:after="0" w:line="240" w:lineRule="auto"/>
              <w:rPr>
                <w:rFonts w:cs="Aptos"/>
                <w:kern w:val="0"/>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5BD2" w14:textId="77777777" w:rsidR="00913166" w:rsidRDefault="00913166" w:rsidP="00EA1B05">
            <w:pPr>
              <w:spacing w:after="0" w:line="240" w:lineRule="auto"/>
              <w:rPr>
                <w:rFonts w:cs="Aptos"/>
                <w:kern w:val="0"/>
                <w:szCs w:val="22"/>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3C43" w14:textId="77777777" w:rsidR="00913166" w:rsidRDefault="00913166" w:rsidP="00EA1B05">
            <w:pPr>
              <w:spacing w:after="0" w:line="240" w:lineRule="auto"/>
              <w:rPr>
                <w:rFonts w:cs="Aptos"/>
                <w:kern w:val="0"/>
                <w:szCs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C04A" w14:textId="77777777" w:rsidR="00913166" w:rsidRDefault="00913166" w:rsidP="00EA1B05">
            <w:pPr>
              <w:spacing w:after="0" w:line="240" w:lineRule="auto"/>
              <w:rPr>
                <w:rFonts w:cs="Aptos"/>
                <w:kern w:val="0"/>
                <w:szCs w:val="22"/>
              </w:rPr>
            </w:pPr>
          </w:p>
        </w:tc>
      </w:tr>
    </w:tbl>
    <w:p w14:paraId="21D4FB76" w14:textId="77777777" w:rsidR="00913166" w:rsidRPr="00E828B4" w:rsidRDefault="00913166" w:rsidP="00E828B4">
      <w:pPr>
        <w:rPr>
          <w:rFonts w:ascii="Arial" w:hAnsi="Arial" w:cs="Arial"/>
          <w:b/>
          <w:szCs w:val="22"/>
        </w:rPr>
      </w:pPr>
    </w:p>
    <w:p w14:paraId="17090100" w14:textId="77777777" w:rsidR="00E828B4" w:rsidRPr="00E828B4" w:rsidRDefault="00E828B4" w:rsidP="00E828B4">
      <w:pPr>
        <w:rPr>
          <w:rFonts w:ascii="Arial" w:hAnsi="Arial" w:cs="Arial"/>
          <w:b/>
          <w:szCs w:val="22"/>
        </w:rPr>
      </w:pPr>
    </w:p>
    <w:p w14:paraId="7AF0F7A7" w14:textId="77777777" w:rsidR="00E828B4" w:rsidRPr="00E828B4" w:rsidRDefault="00E828B4" w:rsidP="00E828B4">
      <w:pPr>
        <w:rPr>
          <w:rFonts w:ascii="Arial" w:hAnsi="Arial" w:cs="Arial"/>
          <w:szCs w:val="22"/>
        </w:rPr>
      </w:pPr>
    </w:p>
    <w:p w14:paraId="4F952208" w14:textId="77777777" w:rsidR="00E828B4" w:rsidRPr="00E828B4" w:rsidRDefault="00E828B4" w:rsidP="00E828B4">
      <w:pPr>
        <w:rPr>
          <w:rFonts w:ascii="Arial" w:hAnsi="Arial" w:cs="Arial"/>
          <w:szCs w:val="22"/>
        </w:rPr>
      </w:pPr>
    </w:p>
    <w:sectPr w:rsidR="00E828B4" w:rsidRPr="00E828B4">
      <w:headerReference w:type="default" r:id="rId7"/>
      <w:footerReference w:type="default" r:id="rId8"/>
      <w:pgSz w:w="11906" w:h="16838"/>
      <w:pgMar w:top="1483" w:right="1444" w:bottom="169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4155" w14:textId="77777777" w:rsidR="008A0FC7" w:rsidRDefault="008A0FC7" w:rsidP="00E828B4">
      <w:pPr>
        <w:spacing w:after="0" w:line="240" w:lineRule="auto"/>
      </w:pPr>
      <w:r>
        <w:separator/>
      </w:r>
    </w:p>
  </w:endnote>
  <w:endnote w:type="continuationSeparator" w:id="0">
    <w:p w14:paraId="69F51D3B" w14:textId="77777777" w:rsidR="008A0FC7" w:rsidRDefault="008A0FC7" w:rsidP="00E8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600893"/>
      <w:docPartObj>
        <w:docPartGallery w:val="Page Numbers (Bottom of Page)"/>
        <w:docPartUnique/>
      </w:docPartObj>
    </w:sdtPr>
    <w:sdtContent>
      <w:p w14:paraId="4EFE8952" w14:textId="757BBD06" w:rsidR="00E828B4" w:rsidRDefault="00E828B4">
        <w:pPr>
          <w:pStyle w:val="Footer"/>
          <w:jc w:val="right"/>
        </w:pPr>
        <w:r>
          <w:fldChar w:fldCharType="begin"/>
        </w:r>
        <w:r>
          <w:instrText>PAGE   \* MERGEFORMAT</w:instrText>
        </w:r>
        <w:r>
          <w:fldChar w:fldCharType="separate"/>
        </w:r>
        <w:r>
          <w:t>2</w:t>
        </w:r>
        <w:r>
          <w:fldChar w:fldCharType="end"/>
        </w:r>
      </w:p>
    </w:sdtContent>
  </w:sdt>
  <w:p w14:paraId="76C9EA30" w14:textId="77777777" w:rsidR="00E828B4" w:rsidRDefault="00E8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11AF" w14:textId="77777777" w:rsidR="008A0FC7" w:rsidRDefault="008A0FC7" w:rsidP="00E828B4">
      <w:pPr>
        <w:spacing w:after="0" w:line="240" w:lineRule="auto"/>
      </w:pPr>
      <w:r>
        <w:separator/>
      </w:r>
    </w:p>
  </w:footnote>
  <w:footnote w:type="continuationSeparator" w:id="0">
    <w:p w14:paraId="56CD199D" w14:textId="77777777" w:rsidR="008A0FC7" w:rsidRDefault="008A0FC7" w:rsidP="00E8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9972" w14:textId="7F4A7253" w:rsidR="00E828B4" w:rsidRDefault="00E828B4" w:rsidP="00E828B4">
    <w:pPr>
      <w:pStyle w:val="Header"/>
      <w:rPr>
        <w:rFonts w:ascii="Arial" w:hAnsi="Arial" w:cs="Arial"/>
        <w:sz w:val="18"/>
        <w:szCs w:val="18"/>
        <w:shd w:val="clear" w:color="auto" w:fill="FFFF00"/>
      </w:rPr>
    </w:pPr>
    <w:r w:rsidRPr="00913166">
      <w:rPr>
        <w:rFonts w:ascii="Arial" w:hAnsi="Arial" w:cs="Arial"/>
        <w:sz w:val="18"/>
        <w:szCs w:val="18"/>
      </w:rPr>
      <w:t>Great Budworth Parish Council</w:t>
    </w:r>
    <w:r>
      <w:rPr>
        <w:rFonts w:ascii="Arial" w:hAnsi="Arial" w:cs="Arial"/>
        <w:sz w:val="18"/>
        <w:szCs w:val="18"/>
      </w:rPr>
      <w:tab/>
    </w:r>
    <w:r>
      <w:rPr>
        <w:rFonts w:ascii="Arial" w:hAnsi="Arial" w:cs="Arial"/>
        <w:sz w:val="18"/>
        <w:szCs w:val="18"/>
      </w:rPr>
      <w:tab/>
    </w:r>
    <w:r w:rsidRPr="00913166">
      <w:rPr>
        <w:rFonts w:ascii="Arial" w:hAnsi="Arial" w:cs="Arial"/>
        <w:sz w:val="18"/>
        <w:szCs w:val="18"/>
      </w:rPr>
      <w:t>Investment Policy</w:t>
    </w:r>
  </w:p>
  <w:p w14:paraId="0F323B39" w14:textId="77777777" w:rsidR="00E828B4" w:rsidRDefault="00E8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968E9"/>
    <w:multiLevelType w:val="multilevel"/>
    <w:tmpl w:val="025614C6"/>
    <w:lvl w:ilvl="0">
      <w:start w:val="2"/>
      <w:numFmt w:val="decimal"/>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EE4F42"/>
    <w:multiLevelType w:val="hybridMultilevel"/>
    <w:tmpl w:val="AD38E650"/>
    <w:lvl w:ilvl="0" w:tplc="1DD00EB0">
      <w:start w:val="5"/>
      <w:numFmt w:val="decimal"/>
      <w:lvlText w:val="%1."/>
      <w:lvlJc w:val="left"/>
      <w:pPr>
        <w:ind w:left="3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A2C7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8AC83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8666F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06AD0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C942DA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E68E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AF4604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CCDA4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750003498">
    <w:abstractNumId w:val="0"/>
  </w:num>
  <w:num w:numId="2" w16cid:durableId="30173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F6"/>
    <w:rsid w:val="00091B94"/>
    <w:rsid w:val="00284D52"/>
    <w:rsid w:val="00420CAE"/>
    <w:rsid w:val="00451E8E"/>
    <w:rsid w:val="008A0FC7"/>
    <w:rsid w:val="008B71DD"/>
    <w:rsid w:val="00913166"/>
    <w:rsid w:val="00B40A18"/>
    <w:rsid w:val="00CD60F6"/>
    <w:rsid w:val="00D02936"/>
    <w:rsid w:val="00E8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ED54"/>
  <w15:docId w15:val="{DE958845-A6CF-429F-A4FE-53F93F04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4"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basedOn w:val="TableNormal"/>
    <w:uiPriority w:val="59"/>
    <w:rsid w:val="00E828B4"/>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8B4"/>
    <w:rPr>
      <w:rFonts w:ascii="Calibri" w:eastAsia="Calibri" w:hAnsi="Calibri" w:cs="Calibri"/>
      <w:color w:val="000000"/>
      <w:sz w:val="22"/>
    </w:rPr>
  </w:style>
  <w:style w:type="paragraph" w:styleId="Footer">
    <w:name w:val="footer"/>
    <w:basedOn w:val="Normal"/>
    <w:link w:val="FooterChar"/>
    <w:uiPriority w:val="99"/>
    <w:unhideWhenUsed/>
    <w:rsid w:val="00E8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8B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Stockton</dc:creator>
  <cp:keywords/>
  <cp:lastModifiedBy>Great Budworth PC Clerk</cp:lastModifiedBy>
  <cp:revision>8</cp:revision>
  <cp:lastPrinted>2024-04-18T13:27:00Z</cp:lastPrinted>
  <dcterms:created xsi:type="dcterms:W3CDTF">2024-04-18T13:26:00Z</dcterms:created>
  <dcterms:modified xsi:type="dcterms:W3CDTF">2024-05-23T09:57:00Z</dcterms:modified>
</cp:coreProperties>
</file>